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D35" w:rsidRDefault="00706D35">
      <w:pPr>
        <w:adjustRightInd/>
        <w:spacing w:line="240" w:lineRule="auto"/>
        <w:rPr>
          <w:bCs/>
        </w:rPr>
      </w:pPr>
      <w:r>
        <w:rPr>
          <w:bC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5" type="#_x0000_t136" style="position:absolute;left:0;text-align:left;margin-left:7.75pt;margin-top:15.75pt;width:425.2pt;height:53.85pt;z-index:251659264" fillcolor="red" strokecolor="red" strokeweight="1pt">
            <v:textpath style="font-family:&quot;方正小标宋_GBK&quot;;font-weight:bold" trim="t" fitpath="t" string="重庆市发展和改革委员会"/>
          </v:shape>
        </w:pict>
      </w:r>
    </w:p>
    <w:p w:rsidR="00706D35" w:rsidRDefault="00706D35">
      <w:pPr>
        <w:adjustRightInd/>
        <w:spacing w:line="240" w:lineRule="auto"/>
        <w:rPr>
          <w:bCs/>
        </w:rPr>
      </w:pPr>
    </w:p>
    <w:p w:rsidR="00706D35" w:rsidRDefault="00706D35">
      <w:pPr>
        <w:adjustRightInd/>
        <w:spacing w:line="240" w:lineRule="auto"/>
        <w:rPr>
          <w:bCs/>
        </w:rPr>
      </w:pPr>
    </w:p>
    <w:p w:rsidR="00706D35" w:rsidRDefault="00706D35">
      <w:pPr>
        <w:adjustRightInd/>
        <w:spacing w:line="240" w:lineRule="auto"/>
        <w:rPr>
          <w:bCs/>
        </w:rPr>
      </w:pPr>
    </w:p>
    <w:p w:rsidR="00706D35" w:rsidRDefault="00706D35">
      <w:pPr>
        <w:adjustRightInd/>
        <w:spacing w:line="240" w:lineRule="auto"/>
        <w:rPr>
          <w:bCs/>
        </w:rPr>
      </w:pPr>
    </w:p>
    <w:p w:rsidR="00706D35" w:rsidRDefault="00706D35">
      <w:pPr>
        <w:adjustRightInd/>
        <w:spacing w:line="240" w:lineRule="auto"/>
        <w:jc w:val="center"/>
        <w:rPr>
          <w:bCs/>
        </w:rPr>
      </w:pPr>
      <w:r w:rsidRPr="00706D35">
        <w:pict>
          <v:rect id="矩形 6" o:spid="_x0000_s1034" style="position:absolute;left:0;text-align:left;margin-left:0;margin-top:28.95pt;width:442.2pt;height:2.25pt;z-index:251660288;mso-position-horizontal:center" o:gfxdata="UEsDBAoAAAAAAIdO4kAAAAAAAAAAAAAAAAAEAAAAZHJzL1BLAwQUAAAACACHTuJA2hE9otcAAAAG&#10;AQAADwAAAGRycy9kb3ducmV2LnhtbE2P0UrDQBRE3wX/YbmCb3aTkrYx5qaIIoJIwdYP2GavSUz2&#10;btjdpO3fuz7p4zDDzJlyezaDmMn5zjJCukhAENdWd9wgfB5e7nIQPijWarBMCBfysK2ur0pVaHvi&#10;D5r3oRGxhH2hENoQxkJKX7dklF/YkTh6X9YZFaJ0jdROnWK5GeQySdbSqI7jQqtGemqp7veTQejd&#10;Kn3f5G96kpfH8fXQ756/5x3i7U2aPIAIdA5/YfjFj+hQRaajnVh7MSDEIwFhtbkHEd08zzIQR4T1&#10;MgNZlfI/fvUDUEsDBBQAAAAIAIdO4kC8GZzfwQEAAHcDAAAOAAAAZHJzL2Uyb0RvYy54bWytU82O&#10;0zAQviPxDpbvNGlEy1I13QNVuSBYaeEBXMdJLPmPGbdJnwaJGw/B4yBeg7ETurBc9sDFmfGMv5nv&#10;m8n2drSGnRWg9q7my0XJmXLSN9p1Nf/08fDihjOMwjXCeKdqflHIb3fPn22HsFGV771pFDACcbgZ&#10;Qs37GMOmKFD2ygpc+KAcBVsPVkRyoSsaEAOhW1NUZbkuBg9NAC8VIt3upyCfEeEpgL5ttVR7L09W&#10;uTihgjIiEiXsdUC+y922rZLxQ9uiiszUnJjGfFIRso/pLHZbselAhF7LuQXxlBYecbJCOyp6hdqL&#10;KNgJ9D9QVkvw6Nu4kN4WE5GsCLFYlo+0ue9FUJkLSY3hKjr+P1j5/nwHTDe0CZw5YWngP798+/H9&#10;K1snbYaAG0q5D3cwe0hmIjq2YNOXKLAx63m56qnGyCRdrtbL1euXJLWkWHWzerVKmMXD4wAY3ypv&#10;WTJqDjSurKI4v8M4pf5OSbXQG90ctDHZge74xgA7Cxrt4VBWZTWj/5VmXEp2Pj2bENNNkYhNVJIV&#10;x+M48zv65kKKDLQSNcfPJwGKs1MA3fXU4TKXSE9oHpnKvDtp4H/6ucTD/7L7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NoRPaLXAAAABgEAAA8AAAAAAAAAAQAgAAAAIgAAAGRycy9kb3ducmV2Lnht&#10;bFBLAQIUABQAAAAIAIdO4kC8GZzfwQEAAHcDAAAOAAAAAAAAAAEAIAAAACYBAABkcnMvZTJvRG9j&#10;LnhtbFBLBQYAAAAABgAGAFkBAABZBQAAAAA=&#10;" fillcolor="#ff0202" stroked="f">
            <v:textbox>
              <w:txbxContent>
                <w:p w:rsidR="00706D35" w:rsidRDefault="00706D35">
                  <w:pPr>
                    <w:jc w:val="center"/>
                  </w:pPr>
                </w:p>
              </w:txbxContent>
            </v:textbox>
          </v:rect>
        </w:pict>
      </w:r>
      <w:r w:rsidR="00A63DB0">
        <w:rPr>
          <w:rFonts w:hint="eastAsia"/>
          <w:color w:val="010000"/>
        </w:rPr>
        <w:t>渝发改体改</w:t>
      </w:r>
      <w:r w:rsidR="00A63DB0">
        <w:rPr>
          <w:rFonts w:hint="eastAsia"/>
          <w:bCs/>
        </w:rPr>
        <w:t>〔</w:t>
      </w:r>
      <w:r w:rsidR="00A63DB0">
        <w:rPr>
          <w:rFonts w:hint="eastAsia"/>
          <w:bCs/>
          <w:color w:val="010000"/>
        </w:rPr>
        <w:t>2021</w:t>
      </w:r>
      <w:r w:rsidR="00A63DB0">
        <w:rPr>
          <w:rFonts w:hint="eastAsia"/>
          <w:bCs/>
        </w:rPr>
        <w:t>〕</w:t>
      </w:r>
      <w:r w:rsidR="00A63DB0">
        <w:rPr>
          <w:rFonts w:hint="eastAsia"/>
          <w:bCs/>
          <w:color w:val="010000"/>
        </w:rPr>
        <w:t>671</w:t>
      </w:r>
      <w:r w:rsidR="00A63DB0">
        <w:rPr>
          <w:rFonts w:hint="eastAsia"/>
          <w:bCs/>
        </w:rPr>
        <w:t>号</w:t>
      </w:r>
    </w:p>
    <w:p w:rsidR="00706D35" w:rsidRDefault="00706D35">
      <w:pPr>
        <w:adjustRightInd/>
        <w:spacing w:line="240" w:lineRule="auto"/>
        <w:jc w:val="center"/>
        <w:rPr>
          <w:bCs/>
        </w:rPr>
      </w:pPr>
    </w:p>
    <w:p w:rsidR="00706D35" w:rsidRDefault="00706D35">
      <w:pPr>
        <w:adjustRightInd/>
        <w:spacing w:line="240" w:lineRule="auto"/>
        <w:rPr>
          <w:bCs/>
        </w:rPr>
      </w:pPr>
    </w:p>
    <w:tbl>
      <w:tblPr>
        <w:tblW w:w="0" w:type="auto"/>
        <w:jc w:val="center"/>
        <w:tblLayout w:type="fixed"/>
        <w:tblLook w:val="04A0"/>
      </w:tblPr>
      <w:tblGrid>
        <w:gridCol w:w="5056"/>
      </w:tblGrid>
      <w:tr w:rsidR="00706D35">
        <w:trPr>
          <w:jc w:val="center"/>
        </w:trPr>
        <w:tc>
          <w:tcPr>
            <w:tcW w:w="5056" w:type="dxa"/>
            <w:shd w:val="clear" w:color="auto" w:fill="auto"/>
          </w:tcPr>
          <w:p w:rsidR="00706D35" w:rsidRDefault="00A63DB0">
            <w:pPr>
              <w:pStyle w:val="a5"/>
              <w:widowControl/>
              <w:adjustRightInd/>
              <w:spacing w:before="0" w:beforeAutospacing="0" w:after="0" w:afterAutospacing="0" w:line="580" w:lineRule="exact"/>
              <w:jc w:val="distribute"/>
              <w:textAlignment w:val="auto"/>
              <w:rPr>
                <w:rFonts w:ascii="Times New Roman" w:eastAsia="方正小标宋_GBK" w:cs="方正小标宋_GBK"/>
                <w:snapToGrid w:val="0"/>
                <w:kern w:val="0"/>
                <w:sz w:val="44"/>
                <w:szCs w:val="44"/>
                <w:lang/>
              </w:rPr>
            </w:pPr>
            <w:r>
              <w:rPr>
                <w:rFonts w:ascii="Times New Roman" w:eastAsia="方正小标宋_GBK" w:cs="方正小标宋_GBK" w:hint="eastAsia"/>
                <w:snapToGrid w:val="0"/>
                <w:kern w:val="0"/>
                <w:sz w:val="44"/>
                <w:szCs w:val="44"/>
              </w:rPr>
              <w:t>重庆市发展和改革委员会</w:t>
            </w:r>
          </w:p>
        </w:tc>
      </w:tr>
      <w:tr w:rsidR="00706D35">
        <w:trPr>
          <w:jc w:val="center"/>
        </w:trPr>
        <w:tc>
          <w:tcPr>
            <w:tcW w:w="5056" w:type="dxa"/>
            <w:shd w:val="clear" w:color="auto" w:fill="auto"/>
          </w:tcPr>
          <w:p w:rsidR="00706D35" w:rsidRDefault="00A63DB0">
            <w:pPr>
              <w:pStyle w:val="a5"/>
              <w:widowControl/>
              <w:adjustRightInd/>
              <w:spacing w:before="0" w:beforeAutospacing="0" w:after="0" w:afterAutospacing="0" w:line="580" w:lineRule="exact"/>
              <w:jc w:val="distribute"/>
              <w:textAlignment w:val="auto"/>
              <w:rPr>
                <w:rFonts w:ascii="Times New Roman" w:eastAsia="方正小标宋_GBK" w:cs="方正小标宋_GBK"/>
                <w:snapToGrid w:val="0"/>
                <w:kern w:val="0"/>
                <w:sz w:val="44"/>
                <w:szCs w:val="44"/>
                <w:lang/>
              </w:rPr>
            </w:pPr>
            <w:r>
              <w:rPr>
                <w:rFonts w:ascii="Times New Roman" w:eastAsia="方正小标宋_GBK" w:cs="方正小标宋_GBK" w:hint="eastAsia"/>
                <w:snapToGrid w:val="0"/>
                <w:kern w:val="0"/>
                <w:sz w:val="44"/>
                <w:szCs w:val="44"/>
              </w:rPr>
              <w:t>重庆市商务委员会</w:t>
            </w:r>
          </w:p>
        </w:tc>
      </w:tr>
      <w:tr w:rsidR="00706D35">
        <w:trPr>
          <w:jc w:val="center"/>
        </w:trPr>
        <w:tc>
          <w:tcPr>
            <w:tcW w:w="5056" w:type="dxa"/>
            <w:shd w:val="clear" w:color="auto" w:fill="auto"/>
          </w:tcPr>
          <w:p w:rsidR="00706D35" w:rsidRDefault="00A63DB0">
            <w:pPr>
              <w:adjustRightInd/>
              <w:spacing w:line="580" w:lineRule="exact"/>
              <w:jc w:val="distribute"/>
              <w:textAlignment w:val="auto"/>
              <w:rPr>
                <w:rFonts w:eastAsia="方正小标宋_GBK" w:cs="方正小标宋_GBK"/>
                <w:snapToGrid w:val="0"/>
                <w:sz w:val="44"/>
                <w:szCs w:val="44"/>
                <w:lang/>
              </w:rPr>
            </w:pPr>
            <w:r>
              <w:rPr>
                <w:rFonts w:eastAsia="方正小标宋_GBK" w:cs="方正小标宋_GBK" w:hint="eastAsia"/>
                <w:snapToGrid w:val="0"/>
                <w:sz w:val="44"/>
                <w:szCs w:val="44"/>
              </w:rPr>
              <w:t>重庆市市场监督管理局</w:t>
            </w:r>
          </w:p>
        </w:tc>
      </w:tr>
    </w:tbl>
    <w:p w:rsidR="00706D35" w:rsidRDefault="00A63DB0">
      <w:pPr>
        <w:pStyle w:val="a5"/>
        <w:widowControl/>
        <w:adjustRightInd/>
        <w:spacing w:before="0" w:beforeAutospacing="0" w:after="0" w:afterAutospacing="0" w:line="580" w:lineRule="exact"/>
        <w:jc w:val="center"/>
        <w:textAlignment w:val="auto"/>
        <w:rPr>
          <w:rFonts w:ascii="Times New Roman" w:eastAsia="方正小标宋_GBK" w:cs="方正小标宋_GBK"/>
          <w:snapToGrid w:val="0"/>
          <w:kern w:val="0"/>
          <w:sz w:val="44"/>
          <w:szCs w:val="44"/>
          <w:lang/>
        </w:rPr>
      </w:pPr>
      <w:r>
        <w:rPr>
          <w:rFonts w:ascii="Times New Roman" w:eastAsia="方正小标宋_GBK" w:cs="方正小标宋_GBK" w:hint="eastAsia"/>
          <w:snapToGrid w:val="0"/>
          <w:kern w:val="0"/>
          <w:sz w:val="44"/>
          <w:szCs w:val="44"/>
          <w:lang/>
        </w:rPr>
        <w:t>关于印发贯彻落实《建设高标准市场体系</w:t>
      </w:r>
    </w:p>
    <w:p w:rsidR="00706D35" w:rsidRDefault="00A63DB0">
      <w:pPr>
        <w:pStyle w:val="a5"/>
        <w:widowControl/>
        <w:adjustRightInd/>
        <w:spacing w:before="0" w:beforeAutospacing="0" w:after="0" w:afterAutospacing="0" w:line="580" w:lineRule="exact"/>
        <w:jc w:val="center"/>
        <w:textAlignment w:val="auto"/>
        <w:rPr>
          <w:rFonts w:ascii="Times New Roman" w:eastAsia="方正小标宋_GBK" w:cs="方正小标宋_GBK"/>
          <w:snapToGrid w:val="0"/>
          <w:kern w:val="0"/>
          <w:sz w:val="44"/>
          <w:szCs w:val="44"/>
          <w:lang/>
        </w:rPr>
      </w:pPr>
      <w:r>
        <w:rPr>
          <w:rFonts w:ascii="Times New Roman" w:eastAsia="方正小标宋_GBK" w:cs="方正小标宋_GBK" w:hint="eastAsia"/>
          <w:snapToGrid w:val="0"/>
          <w:kern w:val="0"/>
          <w:sz w:val="44"/>
          <w:szCs w:val="44"/>
          <w:lang/>
        </w:rPr>
        <w:t>行动方案》任务分工的通知</w:t>
      </w:r>
    </w:p>
    <w:p w:rsidR="00706D35" w:rsidRDefault="00706D35">
      <w:pPr>
        <w:adjustRightInd/>
        <w:spacing w:line="240" w:lineRule="auto"/>
        <w:textAlignment w:val="auto"/>
        <w:rPr>
          <w:rFonts w:cs="方正仿宋_GBK"/>
          <w:snapToGrid w:val="0"/>
        </w:rPr>
      </w:pPr>
    </w:p>
    <w:p w:rsidR="00706D35" w:rsidRDefault="00A63DB0">
      <w:pPr>
        <w:adjustRightInd/>
        <w:spacing w:line="240" w:lineRule="auto"/>
        <w:textAlignment w:val="auto"/>
        <w:rPr>
          <w:rFonts w:cs="方正仿宋_GBK"/>
          <w:snapToGrid w:val="0"/>
        </w:rPr>
      </w:pPr>
      <w:r>
        <w:rPr>
          <w:rFonts w:cs="方正仿宋_GBK" w:hint="eastAsia"/>
          <w:snapToGrid w:val="0"/>
          <w:szCs w:val="20"/>
        </w:rPr>
        <w:t>各区县（自治县）人民政府，</w:t>
      </w:r>
      <w:r>
        <w:rPr>
          <w:rFonts w:cs="方正仿宋_GBK" w:hint="eastAsia"/>
          <w:snapToGrid w:val="0"/>
        </w:rPr>
        <w:t>市级相关部门，有关单位：</w:t>
      </w:r>
    </w:p>
    <w:p w:rsidR="00706D35" w:rsidRDefault="00A63DB0">
      <w:pPr>
        <w:adjustRightInd/>
        <w:spacing w:line="240" w:lineRule="auto"/>
        <w:ind w:firstLineChars="200" w:firstLine="632"/>
        <w:textAlignment w:val="auto"/>
        <w:rPr>
          <w:rFonts w:cs="方正仿宋_GBK"/>
          <w:snapToGrid w:val="0"/>
        </w:rPr>
      </w:pPr>
      <w:r>
        <w:rPr>
          <w:rFonts w:cs="方正仿宋_GBK" w:hint="eastAsia"/>
          <w:snapToGrid w:val="0"/>
        </w:rPr>
        <w:t>为贯彻落实中共中央办公厅、国务院办公厅《建设高标准市场体系行动方案》（中办发〔</w:t>
      </w:r>
      <w:r>
        <w:rPr>
          <w:rFonts w:cs="方正仿宋_GBK" w:hint="eastAsia"/>
          <w:snapToGrid w:val="0"/>
        </w:rPr>
        <w:t>2021</w:t>
      </w:r>
      <w:r>
        <w:rPr>
          <w:rFonts w:cs="方正仿宋_GBK" w:hint="eastAsia"/>
          <w:snapToGrid w:val="0"/>
        </w:rPr>
        <w:t>〕</w:t>
      </w:r>
      <w:r>
        <w:rPr>
          <w:rFonts w:cs="方正仿宋_GBK" w:hint="eastAsia"/>
          <w:snapToGrid w:val="0"/>
        </w:rPr>
        <w:t>2</w:t>
      </w:r>
      <w:r>
        <w:rPr>
          <w:rFonts w:cs="方正仿宋_GBK" w:hint="eastAsia"/>
          <w:snapToGrid w:val="0"/>
        </w:rPr>
        <w:t>号）精神，构建更加成熟、更加定型的高水平社会主义市场经济体制，进一步激发各类市场主体活力，经市政府同意，现将《贯彻落实〈建设高标准市场体系行动方案〉任务分工》印发给你们，请认真贯彻执行。</w:t>
      </w:r>
    </w:p>
    <w:p w:rsidR="00706D35" w:rsidRDefault="00A63DB0">
      <w:pPr>
        <w:adjustRightInd/>
        <w:spacing w:line="240" w:lineRule="auto"/>
        <w:ind w:firstLineChars="200" w:firstLine="632"/>
        <w:textAlignment w:val="auto"/>
        <w:rPr>
          <w:rFonts w:eastAsia="方正黑体_GBK" w:cs="方正黑体_GBK"/>
          <w:snapToGrid w:val="0"/>
        </w:rPr>
      </w:pPr>
      <w:r>
        <w:rPr>
          <w:rFonts w:eastAsia="方正黑体_GBK" w:cs="方正黑体_GBK" w:hint="eastAsia"/>
          <w:snapToGrid w:val="0"/>
        </w:rPr>
        <w:t>一、提高政治站位，强化组织领导</w:t>
      </w:r>
    </w:p>
    <w:p w:rsidR="00706D35" w:rsidRDefault="00A63DB0">
      <w:pPr>
        <w:adjustRightInd/>
        <w:spacing w:line="240" w:lineRule="auto"/>
        <w:ind w:firstLineChars="200" w:firstLine="632"/>
        <w:textAlignment w:val="auto"/>
        <w:rPr>
          <w:rFonts w:cs="方正仿宋_GBK"/>
          <w:snapToGrid w:val="0"/>
          <w:szCs w:val="20"/>
        </w:rPr>
      </w:pPr>
      <w:r>
        <w:rPr>
          <w:rFonts w:cs="方正仿宋_GBK" w:hint="eastAsia"/>
          <w:snapToGrid w:val="0"/>
          <w:szCs w:val="20"/>
        </w:rPr>
        <w:t>建设高标准市场体系是加快完善社会主义市场经济体制的</w:t>
      </w:r>
      <w:r>
        <w:rPr>
          <w:rFonts w:cs="方正仿宋_GBK" w:hint="eastAsia"/>
          <w:snapToGrid w:val="0"/>
          <w:szCs w:val="20"/>
        </w:rPr>
        <w:lastRenderedPageBreak/>
        <w:t>重要内容，对加快构建以国内大循环为主体、国内国际双循环相互促进的新发展格局具有重要意义。各区县、市级各部门各单位要进一步提高政治站位，充分认识建设高标准市场体系的重要意义，紧紧围绕夯实市场体系基础制度、推进要素资源高标准配置、改善提升市场环境和质量、实施高水平市场开放、完善现代化市场监管机制等重点任务，强化组织领导，完善工作机制，积极主动作为，推动实现市场准入畅通、开放有序、竞争充分、秩序规范，为我市加快融入新发展格局提供有力的制度支撑。</w:t>
      </w:r>
    </w:p>
    <w:p w:rsidR="00706D35" w:rsidRDefault="00A63DB0">
      <w:pPr>
        <w:adjustRightInd/>
        <w:spacing w:line="240" w:lineRule="auto"/>
        <w:ind w:firstLineChars="200" w:firstLine="632"/>
        <w:textAlignment w:val="auto"/>
        <w:rPr>
          <w:rFonts w:eastAsia="方正黑体_GBK" w:cs="方正黑体_GBK"/>
          <w:snapToGrid w:val="0"/>
        </w:rPr>
      </w:pPr>
      <w:r>
        <w:rPr>
          <w:rFonts w:eastAsia="方正黑体_GBK" w:cs="方正黑体_GBK" w:hint="eastAsia"/>
          <w:snapToGrid w:val="0"/>
        </w:rPr>
        <w:t>二、健全工作机制，</w:t>
      </w:r>
      <w:r>
        <w:rPr>
          <w:rFonts w:eastAsia="方正黑体_GBK" w:cs="方正黑体_GBK" w:hint="eastAsia"/>
          <w:snapToGrid w:val="0"/>
        </w:rPr>
        <w:t>狠抓任务落实</w:t>
      </w:r>
    </w:p>
    <w:p w:rsidR="00706D35" w:rsidRDefault="00A63DB0">
      <w:pPr>
        <w:adjustRightInd/>
        <w:spacing w:line="240" w:lineRule="auto"/>
        <w:ind w:firstLineChars="200" w:firstLine="632"/>
        <w:textAlignment w:val="auto"/>
        <w:rPr>
          <w:rFonts w:cs="方正仿宋_GBK"/>
          <w:snapToGrid w:val="0"/>
          <w:szCs w:val="20"/>
        </w:rPr>
      </w:pPr>
      <w:r>
        <w:rPr>
          <w:rFonts w:cs="方正仿宋_GBK" w:hint="eastAsia"/>
          <w:snapToGrid w:val="0"/>
        </w:rPr>
        <w:t>对国家有关部委牵头推动的任务，市级相关部门要主动加强对接落实，积极争取政策支持和先行先试。对属于地方具体推动和抓落实的任务，市级相关部门要按照任务分工，结合我市实际细化提出改革任务清单，包括改革措施、成果形式、实施路径、完成时限等内容，于</w:t>
      </w:r>
      <w:r>
        <w:rPr>
          <w:rFonts w:cs="方正仿宋_GBK" w:hint="eastAsia"/>
          <w:snapToGrid w:val="0"/>
        </w:rPr>
        <w:t>2021</w:t>
      </w:r>
      <w:r>
        <w:rPr>
          <w:rFonts w:cs="方正仿宋_GBK" w:hint="eastAsia"/>
          <w:snapToGrid w:val="0"/>
        </w:rPr>
        <w:t>年</w:t>
      </w:r>
      <w:r>
        <w:rPr>
          <w:rFonts w:cs="方正仿宋_GBK" w:hint="eastAsia"/>
          <w:snapToGrid w:val="0"/>
        </w:rPr>
        <w:t>6</w:t>
      </w:r>
      <w:r>
        <w:rPr>
          <w:rFonts w:cs="方正仿宋_GBK" w:hint="eastAsia"/>
          <w:snapToGrid w:val="0"/>
        </w:rPr>
        <w:t>月</w:t>
      </w:r>
      <w:r>
        <w:rPr>
          <w:rFonts w:cs="方正仿宋_GBK" w:hint="eastAsia"/>
          <w:snapToGrid w:val="0"/>
        </w:rPr>
        <w:t>30</w:t>
      </w:r>
      <w:r>
        <w:rPr>
          <w:rFonts w:cs="方正仿宋_GBK" w:hint="eastAsia"/>
          <w:snapToGrid w:val="0"/>
        </w:rPr>
        <w:t>日前反馈市发展改革委，将建立改革台账，逐项压茬推进。改革实施过程中，要密切关注市场反映，积极回应社会关切，</w:t>
      </w:r>
      <w:r>
        <w:rPr>
          <w:rFonts w:cs="方正仿宋_GBK" w:hint="eastAsia"/>
          <w:snapToGrid w:val="0"/>
          <w:szCs w:val="20"/>
        </w:rPr>
        <w:t>重要情况按程序请示报告。</w:t>
      </w:r>
    </w:p>
    <w:p w:rsidR="00706D35" w:rsidRDefault="00A63DB0">
      <w:pPr>
        <w:adjustRightInd/>
        <w:spacing w:line="240" w:lineRule="auto"/>
        <w:ind w:firstLineChars="200" w:firstLine="632"/>
        <w:textAlignment w:val="auto"/>
        <w:rPr>
          <w:rFonts w:eastAsia="方正黑体_GBK" w:cs="方正黑体_GBK"/>
          <w:snapToGrid w:val="0"/>
        </w:rPr>
      </w:pPr>
      <w:r>
        <w:rPr>
          <w:rFonts w:eastAsia="方正黑体_GBK" w:cs="方正黑体_GBK" w:hint="eastAsia"/>
          <w:snapToGrid w:val="0"/>
        </w:rPr>
        <w:t>三、加强统筹协同，增强改革实效</w:t>
      </w:r>
    </w:p>
    <w:p w:rsidR="00706D35" w:rsidRDefault="00A63DB0">
      <w:pPr>
        <w:adjustRightInd/>
        <w:spacing w:line="240" w:lineRule="auto"/>
        <w:ind w:firstLineChars="200" w:firstLine="632"/>
        <w:textAlignment w:val="auto"/>
        <w:rPr>
          <w:rFonts w:cs="方正仿宋_GBK"/>
          <w:snapToGrid w:val="0"/>
        </w:rPr>
      </w:pPr>
      <w:r>
        <w:rPr>
          <w:rFonts w:cs="方正仿宋_GBK" w:hint="eastAsia"/>
          <w:snapToGrid w:val="0"/>
        </w:rPr>
        <w:t>市发展改革委、市市场监管局、市商务委要加强改革统筹，按照任务清单，对《行动方案</w:t>
      </w:r>
      <w:r>
        <w:rPr>
          <w:rFonts w:cs="方正仿宋_GBK" w:hint="eastAsia"/>
          <w:snapToGrid w:val="0"/>
        </w:rPr>
        <w:t>》落实情况进行动态评估和督促指</w:t>
      </w:r>
    </w:p>
    <w:p w:rsidR="00706D35" w:rsidRDefault="00706D35">
      <w:pPr>
        <w:adjustRightInd/>
        <w:spacing w:line="240" w:lineRule="auto"/>
        <w:ind w:firstLineChars="200" w:firstLine="632"/>
        <w:textAlignment w:val="auto"/>
        <w:rPr>
          <w:rFonts w:cs="方正仿宋_GBK"/>
          <w:snapToGrid w:val="0"/>
        </w:rPr>
      </w:pPr>
    </w:p>
    <w:p w:rsidR="00706D35" w:rsidRDefault="00706D35">
      <w:pPr>
        <w:pStyle w:val="a5"/>
        <w:widowControl/>
        <w:adjustRightInd/>
        <w:spacing w:before="0" w:beforeAutospacing="0" w:after="0" w:afterAutospacing="0" w:line="240" w:lineRule="auto"/>
        <w:textAlignment w:val="auto"/>
        <w:rPr>
          <w:rFonts w:ascii="Times New Roman" w:eastAsia="方正黑体_GBK" w:cs="方正黑体_GBK"/>
          <w:snapToGrid w:val="0"/>
          <w:kern w:val="0"/>
          <w:sz w:val="32"/>
          <w:szCs w:val="32"/>
          <w:shd w:val="clear" w:color="auto" w:fill="FFFFFF"/>
        </w:rPr>
      </w:pPr>
    </w:p>
    <w:p w:rsidR="00706D35" w:rsidRDefault="00706D35">
      <w:pPr>
        <w:pStyle w:val="a5"/>
        <w:widowControl/>
        <w:adjustRightInd/>
        <w:spacing w:before="0" w:beforeAutospacing="0" w:after="0" w:afterAutospacing="0" w:line="240" w:lineRule="auto"/>
        <w:textAlignment w:val="auto"/>
        <w:rPr>
          <w:rFonts w:ascii="Times New Roman" w:eastAsia="方正黑体_GBK" w:cs="方正黑体_GBK"/>
          <w:snapToGrid w:val="0"/>
          <w:kern w:val="0"/>
          <w:sz w:val="32"/>
          <w:szCs w:val="32"/>
          <w:shd w:val="clear" w:color="auto" w:fill="FFFFFF"/>
        </w:rPr>
      </w:pPr>
    </w:p>
    <w:p w:rsidR="00706D35" w:rsidRDefault="00A63DB0">
      <w:pPr>
        <w:pStyle w:val="a5"/>
        <w:widowControl/>
        <w:adjustRightInd/>
        <w:spacing w:before="0" w:beforeAutospacing="0" w:after="0" w:afterAutospacing="0" w:line="240" w:lineRule="auto"/>
        <w:textAlignment w:val="auto"/>
        <w:rPr>
          <w:rFonts w:ascii="Times New Roman" w:eastAsia="方正黑体_GBK" w:cs="方正黑体_GBK"/>
          <w:snapToGrid w:val="0"/>
          <w:kern w:val="0"/>
          <w:sz w:val="32"/>
          <w:szCs w:val="32"/>
          <w:shd w:val="clear" w:color="auto" w:fill="FFFFFF"/>
        </w:rPr>
      </w:pPr>
      <w:r>
        <w:rPr>
          <w:noProof/>
        </w:rPr>
        <w:lastRenderedPageBreak/>
        <w:drawing>
          <wp:anchor distT="0" distB="0" distL="114300" distR="114300" simplePos="0" relativeHeight="251661312" behindDoc="0" locked="0" layoutInCell="1" allowOverlap="1">
            <wp:simplePos x="0" y="0"/>
            <wp:positionH relativeFrom="column">
              <wp:posOffset>-952500</wp:posOffset>
            </wp:positionH>
            <wp:positionV relativeFrom="paragraph">
              <wp:posOffset>-1253490</wp:posOffset>
            </wp:positionV>
            <wp:extent cx="7568565" cy="10684510"/>
            <wp:effectExtent l="0" t="0" r="13335" b="2540"/>
            <wp:wrapNone/>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8" cstate="print"/>
                    <a:stretch>
                      <a:fillRect/>
                    </a:stretch>
                  </pic:blipFill>
                  <pic:spPr>
                    <a:xfrm>
                      <a:off x="0" y="0"/>
                      <a:ext cx="7568565" cy="10684510"/>
                    </a:xfrm>
                    <a:prstGeom prst="rect">
                      <a:avLst/>
                    </a:prstGeom>
                    <a:noFill/>
                    <a:ln>
                      <a:noFill/>
                    </a:ln>
                  </pic:spPr>
                </pic:pic>
              </a:graphicData>
            </a:graphic>
          </wp:anchor>
        </w:drawing>
      </w:r>
    </w:p>
    <w:p w:rsidR="00706D35" w:rsidRDefault="00706D35">
      <w:pPr>
        <w:pStyle w:val="a5"/>
        <w:widowControl/>
        <w:adjustRightInd/>
        <w:spacing w:before="0" w:beforeAutospacing="0" w:after="0" w:afterAutospacing="0" w:line="240" w:lineRule="auto"/>
        <w:textAlignment w:val="auto"/>
        <w:rPr>
          <w:rFonts w:ascii="Times New Roman" w:eastAsia="方正黑体_GBK" w:cs="方正黑体_GBK"/>
          <w:snapToGrid w:val="0"/>
          <w:kern w:val="0"/>
          <w:sz w:val="32"/>
          <w:szCs w:val="32"/>
          <w:shd w:val="clear" w:color="auto" w:fill="FFFFFF"/>
        </w:rPr>
      </w:pPr>
    </w:p>
    <w:p w:rsidR="00706D35" w:rsidRDefault="00A63DB0" w:rsidP="0094456E">
      <w:pPr>
        <w:wordWrap w:val="0"/>
        <w:adjustRightInd/>
        <w:spacing w:line="240" w:lineRule="auto"/>
        <w:ind w:firstLineChars="1766" w:firstLine="5578"/>
        <w:textAlignment w:val="auto"/>
        <w:rPr>
          <w:rFonts w:cs="方正仿宋_GBK"/>
          <w:snapToGrid w:val="0"/>
        </w:rPr>
      </w:pPr>
      <w:r>
        <w:rPr>
          <w:rFonts w:cs="方正仿宋_GBK" w:hint="eastAsia"/>
          <w:snapToGrid w:val="0"/>
        </w:rPr>
        <w:t xml:space="preserve">    </w:t>
      </w:r>
    </w:p>
    <w:p w:rsidR="00706D35" w:rsidRDefault="00A63DB0">
      <w:pPr>
        <w:pStyle w:val="a5"/>
        <w:widowControl/>
        <w:wordWrap w:val="0"/>
        <w:adjustRightInd/>
        <w:spacing w:before="0" w:beforeAutospacing="0" w:after="0" w:afterAutospacing="0" w:line="240" w:lineRule="auto"/>
        <w:jc w:val="right"/>
        <w:textAlignment w:val="auto"/>
        <w:rPr>
          <w:rFonts w:ascii="Times New Roman" w:cs="方正仿宋_GBK"/>
          <w:snapToGrid w:val="0"/>
          <w:kern w:val="0"/>
          <w:sz w:val="32"/>
          <w:szCs w:val="32"/>
          <w:shd w:val="clear" w:color="auto" w:fill="FFFFFF"/>
        </w:rPr>
      </w:pPr>
      <w:r>
        <w:rPr>
          <w:rFonts w:ascii="Times New Roman" w:cs="方正仿宋_GBK" w:hint="eastAsia"/>
          <w:snapToGrid w:val="0"/>
          <w:kern w:val="0"/>
          <w:sz w:val="32"/>
          <w:szCs w:val="32"/>
          <w:shd w:val="clear" w:color="auto" w:fill="FFFFFF"/>
        </w:rPr>
        <w:t xml:space="preserve">  </w:t>
      </w:r>
    </w:p>
    <w:p w:rsidR="00706D35" w:rsidRDefault="00A63DB0">
      <w:pPr>
        <w:pStyle w:val="a5"/>
        <w:widowControl/>
        <w:adjustRightInd/>
        <w:spacing w:before="0" w:beforeAutospacing="0" w:after="0" w:afterAutospacing="0" w:line="580" w:lineRule="exact"/>
        <w:jc w:val="center"/>
        <w:textAlignment w:val="auto"/>
        <w:rPr>
          <w:rFonts w:ascii="Times New Roman" w:eastAsia="方正小标宋_GBK" w:cs="方正小标宋_GBK"/>
          <w:snapToGrid w:val="0"/>
          <w:kern w:val="0"/>
          <w:sz w:val="44"/>
          <w:szCs w:val="44"/>
        </w:rPr>
      </w:pPr>
      <w:r>
        <w:rPr>
          <w:rFonts w:ascii="Times New Roman" w:eastAsia="方正黑体_GBK" w:cs="方正黑体_GBK" w:hint="eastAsia"/>
          <w:b/>
          <w:snapToGrid w:val="0"/>
          <w:kern w:val="0"/>
          <w:sz w:val="30"/>
          <w:szCs w:val="30"/>
          <w:shd w:val="clear" w:color="auto" w:fill="FFFFFF"/>
        </w:rPr>
        <w:br w:type="page"/>
      </w:r>
      <w:r>
        <w:rPr>
          <w:rFonts w:ascii="Times New Roman" w:eastAsia="方正小标宋_GBK" w:cs="方正小标宋_GBK" w:hint="eastAsia"/>
          <w:snapToGrid w:val="0"/>
          <w:kern w:val="0"/>
          <w:sz w:val="44"/>
          <w:szCs w:val="44"/>
        </w:rPr>
        <w:lastRenderedPageBreak/>
        <w:t>贯彻落实《建设高标准市场体系行动方案》</w:t>
      </w:r>
    </w:p>
    <w:p w:rsidR="00706D35" w:rsidRDefault="00A63DB0">
      <w:pPr>
        <w:pStyle w:val="a5"/>
        <w:widowControl/>
        <w:adjustRightInd/>
        <w:spacing w:before="0" w:beforeAutospacing="0" w:after="0" w:afterAutospacing="0" w:line="580" w:lineRule="exact"/>
        <w:jc w:val="center"/>
        <w:textAlignment w:val="auto"/>
        <w:rPr>
          <w:rFonts w:ascii="Times New Roman" w:eastAsia="方正小标宋_GBK" w:cs="方正小标宋_GBK"/>
          <w:snapToGrid w:val="0"/>
          <w:kern w:val="0"/>
          <w:sz w:val="44"/>
          <w:szCs w:val="44"/>
        </w:rPr>
      </w:pPr>
      <w:r>
        <w:rPr>
          <w:rFonts w:ascii="Times New Roman" w:eastAsia="方正小标宋_GBK" w:cs="方正小标宋_GBK" w:hint="eastAsia"/>
          <w:snapToGrid w:val="0"/>
          <w:kern w:val="0"/>
          <w:sz w:val="44"/>
          <w:szCs w:val="44"/>
        </w:rPr>
        <w:t>任务分工</w:t>
      </w:r>
    </w:p>
    <w:p w:rsidR="00706D35" w:rsidRDefault="00706D35">
      <w:pPr>
        <w:pStyle w:val="a5"/>
        <w:widowControl/>
        <w:adjustRightInd/>
        <w:spacing w:before="0" w:beforeAutospacing="0" w:after="0" w:afterAutospacing="0" w:line="240" w:lineRule="auto"/>
        <w:ind w:firstLineChars="200" w:firstLine="592"/>
        <w:textAlignment w:val="auto"/>
        <w:rPr>
          <w:rFonts w:ascii="Times New Roman" w:eastAsia="方正黑体_GBK" w:cs="方正黑体_GBK"/>
          <w:bCs/>
          <w:snapToGrid w:val="0"/>
          <w:kern w:val="0"/>
          <w:sz w:val="30"/>
          <w:szCs w:val="30"/>
          <w:shd w:val="clear" w:color="auto" w:fill="FFFFFF"/>
        </w:rPr>
      </w:pPr>
    </w:p>
    <w:p w:rsidR="00706D35" w:rsidRDefault="00A63DB0">
      <w:pPr>
        <w:pStyle w:val="a5"/>
        <w:adjustRightInd/>
        <w:spacing w:before="0" w:beforeAutospacing="0" w:after="0" w:afterAutospacing="0" w:line="240" w:lineRule="auto"/>
        <w:ind w:firstLineChars="200" w:firstLine="592"/>
        <w:textAlignment w:val="auto"/>
        <w:rPr>
          <w:rFonts w:ascii="Times New Roman" w:eastAsia="方正黑体_GBK" w:cs="方正黑体_GBK"/>
          <w:bCs/>
          <w:snapToGrid w:val="0"/>
          <w:kern w:val="0"/>
          <w:sz w:val="30"/>
          <w:szCs w:val="30"/>
          <w:shd w:val="clear" w:color="auto" w:fill="FFFFFF"/>
        </w:rPr>
      </w:pPr>
      <w:r>
        <w:rPr>
          <w:rFonts w:ascii="Times New Roman" w:eastAsia="方正黑体_GBK" w:cs="方正黑体_GBK" w:hint="eastAsia"/>
          <w:bCs/>
          <w:snapToGrid w:val="0"/>
          <w:kern w:val="0"/>
          <w:sz w:val="30"/>
          <w:szCs w:val="30"/>
          <w:shd w:val="clear" w:color="auto" w:fill="FFFFFF"/>
        </w:rPr>
        <w:t>一、夯实市场体系基础制度</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rPr>
      </w:pPr>
      <w:r>
        <w:rPr>
          <w:rFonts w:ascii="Times New Roman" w:eastAsia="方正楷体_GBK" w:cs="方正楷体_GBK" w:hint="eastAsia"/>
          <w:snapToGrid w:val="0"/>
          <w:kern w:val="0"/>
          <w:sz w:val="32"/>
          <w:szCs w:val="32"/>
          <w:shd w:val="clear" w:color="auto" w:fill="FFFFFF"/>
        </w:rPr>
        <w:t>（一）全面完善产权保护制度</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rPr>
      </w:pPr>
      <w:r>
        <w:rPr>
          <w:rFonts w:ascii="Times New Roman" w:cs="方正仿宋_GBK" w:hint="eastAsia"/>
          <w:snapToGrid w:val="0"/>
          <w:kern w:val="0"/>
          <w:sz w:val="32"/>
          <w:szCs w:val="32"/>
          <w:shd w:val="clear" w:color="auto" w:fill="FFFFFF"/>
        </w:rPr>
        <w:t>1</w:t>
      </w:r>
      <w:r>
        <w:rPr>
          <w:rFonts w:ascii="Times New Roman" w:cs="方正仿宋_GBK" w:hint="eastAsia"/>
          <w:snapToGrid w:val="0"/>
          <w:kern w:val="0"/>
          <w:sz w:val="32"/>
          <w:szCs w:val="32"/>
          <w:shd w:val="clear" w:color="auto" w:fill="FFFFFF"/>
        </w:rPr>
        <w:t>．完善平等保护产权的法律法规体系。推进实施刑法修正案（十一），落实打击非公有制企业工作人员侵害企业财产权益等相关犯罪的规定，加强对非公有制经济财产权的刑法保护。出台实施关于审理专利授权确权行政案件若干问题的规定。完善专利法、著作权法相关配套法规。进一步细化完善国有产权交易各项制度。全面清理对不同所有制经济产权区别对待的法规。</w:t>
      </w:r>
      <w:r>
        <w:rPr>
          <w:rFonts w:ascii="Times New Roman" w:eastAsia="方正楷体_GBK" w:cs="方正楷体_GBK" w:hint="eastAsia"/>
          <w:snapToGrid w:val="0"/>
          <w:kern w:val="0"/>
          <w:sz w:val="32"/>
          <w:szCs w:val="32"/>
          <w:shd w:val="clear" w:color="auto" w:fill="FFFFFF"/>
        </w:rPr>
        <w:t>（市人大常委会法工委、市高法院、市检察院、市司法局、市财政局、市国资委、市市场监管局、市知识产权局等按职责分工对接落实）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w:t>
      </w:r>
      <w:r>
        <w:rPr>
          <w:rFonts w:ascii="Times New Roman" w:cs="方正仿宋_GBK" w:hint="eastAsia"/>
          <w:snapToGrid w:val="0"/>
          <w:kern w:val="0"/>
          <w:sz w:val="32"/>
          <w:szCs w:val="32"/>
          <w:shd w:val="clear" w:color="auto" w:fill="FFFFFF"/>
        </w:rPr>
        <w:t>．健全产权执法司法保护制度。启动第二批涉产权纠纷案件再审工作。完善涉企产权保护案件的申诉、复查、再审等机制。推动涉产权冤错案件依法甄别纠正常态化机制化。总结涉政府产权纠纷问题专项治理行动成功经验，研究建立常态化工作机制。严格规范公检法机关涉案财物处置程序，建立健全有效衔接的涉案财物处置制度体系。</w:t>
      </w:r>
      <w:r>
        <w:rPr>
          <w:rFonts w:ascii="Times New Roman" w:eastAsia="方正楷体_GBK" w:cs="方正楷体_GBK" w:hint="eastAsia"/>
          <w:snapToGrid w:val="0"/>
          <w:kern w:val="0"/>
          <w:sz w:val="32"/>
          <w:szCs w:val="32"/>
          <w:shd w:val="clear" w:color="auto" w:fill="FFFFFF"/>
        </w:rPr>
        <w:t>（市委政法委、市高法院、市检察院、市公安局、市司法局、市发展改革委、市知识产权局等按职责分工</w:t>
      </w:r>
      <w:r>
        <w:rPr>
          <w:rFonts w:ascii="Times New Roman" w:eastAsia="方正楷体_GBK" w:cs="方正楷体_GBK" w:hint="eastAsia"/>
          <w:snapToGrid w:val="0"/>
          <w:kern w:val="0"/>
          <w:sz w:val="32"/>
          <w:szCs w:val="32"/>
          <w:shd w:val="clear" w:color="auto" w:fill="FFFFFF"/>
        </w:rPr>
        <w:t>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w:t>
      </w:r>
      <w:r>
        <w:rPr>
          <w:rFonts w:ascii="Times New Roman" w:cs="方正仿宋_GBK" w:hint="eastAsia"/>
          <w:snapToGrid w:val="0"/>
          <w:kern w:val="0"/>
          <w:sz w:val="32"/>
          <w:szCs w:val="32"/>
          <w:shd w:val="clear" w:color="auto" w:fill="FFFFFF"/>
        </w:rPr>
        <w:t>．强化知识产权保护。推进实施审理侵犯商业秘密民事案</w:t>
      </w:r>
      <w:r>
        <w:rPr>
          <w:rFonts w:ascii="Times New Roman" w:cs="方正仿宋_GBK" w:hint="eastAsia"/>
          <w:snapToGrid w:val="0"/>
          <w:kern w:val="0"/>
          <w:sz w:val="32"/>
          <w:szCs w:val="32"/>
          <w:shd w:val="clear" w:color="auto" w:fill="FFFFFF"/>
        </w:rPr>
        <w:lastRenderedPageBreak/>
        <w:t>件适用法律若干问题的规定，出台审理涉药品上市审评审批专利民事案件适用法律若干问题的规定。制定出台知识产权侵权惩罚性赔偿适用法律若干问题的解释，对恶意侵权、长时间持续侵权、商标侵权等行为，严格执行侵权惩罚性赔偿制度。探索建立知识产权侵权快速反应机制。做好商标代理管理办法、地理标志产品保护规定、官方标志保护办法等部门规章的制定修订工作。研究制定药品专利保护、跨境电商领域知识产权保护规则，编制发布企业知识产权保护指南和知识产权保护国别指南。优化专利、</w:t>
      </w:r>
      <w:r>
        <w:rPr>
          <w:rFonts w:ascii="Times New Roman" w:cs="方正仿宋_GBK" w:hint="eastAsia"/>
          <w:snapToGrid w:val="0"/>
          <w:kern w:val="0"/>
          <w:sz w:val="32"/>
          <w:szCs w:val="32"/>
          <w:shd w:val="clear" w:color="auto" w:fill="FFFFFF"/>
        </w:rPr>
        <w:t>商标等申请和审查程序，提高审查效率，压缩审查时间。建立健全专利、商标等无形资产评估管理体系。</w:t>
      </w:r>
      <w:r>
        <w:rPr>
          <w:rFonts w:ascii="Times New Roman" w:eastAsia="方正楷体_GBK" w:cs="方正楷体_GBK" w:hint="eastAsia"/>
          <w:snapToGrid w:val="0"/>
          <w:kern w:val="0"/>
          <w:sz w:val="32"/>
          <w:szCs w:val="32"/>
          <w:shd w:val="clear" w:color="auto" w:fill="FFFFFF"/>
        </w:rPr>
        <w:t>（市高法院、市知识产权局、市市场监管局、市卫生健康委等按职责分工对接落实）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w:t>
      </w:r>
      <w:r>
        <w:rPr>
          <w:rFonts w:ascii="Times New Roman" w:cs="方正仿宋_GBK" w:hint="eastAsia"/>
          <w:snapToGrid w:val="0"/>
          <w:kern w:val="0"/>
          <w:sz w:val="32"/>
          <w:szCs w:val="32"/>
          <w:shd w:val="clear" w:color="auto" w:fill="FFFFFF"/>
        </w:rPr>
        <w:t>．健全农村集体产权制度。全面推开农村集体产权制度改革试点，完善农村集体产权确权和保护制度，分类建立健全集体资产清产核资、登记、保管、使用、处置制度和财务管理监督制度。规范农村产权流转交易，切实防止集体经济组织内部少数人侵占、非法处置集体资产，防止外部资本侵吞、非法控制集体资产。完善集体产权资产评估、流转交易、担保等综合服务体系，加强农村土地</w:t>
      </w:r>
      <w:r>
        <w:rPr>
          <w:rFonts w:ascii="Times New Roman" w:cs="方正仿宋_GBK" w:hint="eastAsia"/>
          <w:snapToGrid w:val="0"/>
          <w:kern w:val="0"/>
          <w:sz w:val="32"/>
          <w:szCs w:val="32"/>
          <w:shd w:val="clear" w:color="auto" w:fill="FFFFFF"/>
        </w:rPr>
        <w:t>经营权流转规范管理和服务。</w:t>
      </w:r>
      <w:r>
        <w:rPr>
          <w:rFonts w:ascii="Times New Roman" w:eastAsia="方正楷体_GBK" w:cs="方正楷体_GBK" w:hint="eastAsia"/>
          <w:snapToGrid w:val="0"/>
          <w:kern w:val="0"/>
          <w:sz w:val="32"/>
          <w:szCs w:val="32"/>
          <w:shd w:val="clear" w:color="auto" w:fill="FFFFFF"/>
        </w:rPr>
        <w:t>（市农业农村委、市规划自然资源局等按职责分工对接落实）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（二）全面实施市场准入负面清单制度</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5</w:t>
      </w:r>
      <w:r>
        <w:rPr>
          <w:rFonts w:ascii="Times New Roman" w:cs="方正仿宋_GBK" w:hint="eastAsia"/>
          <w:snapToGrid w:val="0"/>
          <w:kern w:val="0"/>
          <w:sz w:val="32"/>
          <w:szCs w:val="32"/>
          <w:shd w:val="clear" w:color="auto" w:fill="FFFFFF"/>
        </w:rPr>
        <w:t>．全面落实“全国一张清单”管理模式。严禁各地区各部门自行发布具有市场准入性质的负面清单。健全市场准入负面清</w:t>
      </w:r>
      <w:r>
        <w:rPr>
          <w:rFonts w:ascii="Times New Roman" w:cs="方正仿宋_GBK" w:hint="eastAsia"/>
          <w:snapToGrid w:val="0"/>
          <w:kern w:val="0"/>
          <w:sz w:val="32"/>
          <w:szCs w:val="32"/>
          <w:shd w:val="clear" w:color="auto" w:fill="FFFFFF"/>
        </w:rPr>
        <w:lastRenderedPageBreak/>
        <w:t>单动态调整机制。建立覆盖省、市、县三级的市场准入隐性壁垒台账，畅通市场主体对隐性壁垒的意见反馈渠道和处理回应机制。制定市场准入效能评估标准并开展综合评估。</w:t>
      </w:r>
      <w:r>
        <w:rPr>
          <w:rFonts w:ascii="Times New Roman" w:eastAsia="方正楷体_GBK" w:cs="方正楷体_GBK" w:hint="eastAsia"/>
          <w:snapToGrid w:val="0"/>
          <w:kern w:val="0"/>
          <w:sz w:val="32"/>
          <w:szCs w:val="32"/>
          <w:shd w:val="clear" w:color="auto" w:fill="FFFFFF"/>
        </w:rPr>
        <w:t>（市发展改革委、市商务委等按职责分工对接落实）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6</w:t>
      </w:r>
      <w:r>
        <w:rPr>
          <w:rFonts w:ascii="Times New Roman" w:cs="方正仿宋_GBK" w:hint="eastAsia"/>
          <w:snapToGrid w:val="0"/>
          <w:kern w:val="0"/>
          <w:sz w:val="32"/>
          <w:szCs w:val="32"/>
          <w:shd w:val="clear" w:color="auto" w:fill="FFFFFF"/>
        </w:rPr>
        <w:t>．开展放宽市场准入试点。制定出台海南自由贸易港、深圳建设中国特色社会主义先行示范区</w:t>
      </w:r>
      <w:r>
        <w:rPr>
          <w:rFonts w:ascii="Times New Roman" w:cs="方正仿宋_GBK" w:hint="eastAsia"/>
          <w:snapToGrid w:val="0"/>
          <w:kern w:val="0"/>
          <w:sz w:val="32"/>
          <w:szCs w:val="32"/>
          <w:shd w:val="clear" w:color="auto" w:fill="FFFFFF"/>
        </w:rPr>
        <w:t>、横琴粤澳深度合作区放宽市场准入特别措施。选择符合条件的地区开展放宽市场准入试点。</w:t>
      </w:r>
      <w:r>
        <w:rPr>
          <w:rFonts w:ascii="Times New Roman" w:eastAsia="方正楷体_GBK" w:cs="方正楷体_GBK" w:hint="eastAsia"/>
          <w:snapToGrid w:val="0"/>
          <w:kern w:val="0"/>
          <w:sz w:val="32"/>
          <w:szCs w:val="32"/>
          <w:shd w:val="clear" w:color="auto" w:fill="FFFFFF"/>
        </w:rPr>
        <w:t>（市发展改革委、市商务委等按职责分工对接落实）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7</w:t>
      </w:r>
      <w:r>
        <w:rPr>
          <w:rFonts w:ascii="Times New Roman" w:cs="方正仿宋_GBK" w:hint="eastAsia"/>
          <w:snapToGrid w:val="0"/>
          <w:kern w:val="0"/>
          <w:sz w:val="32"/>
          <w:szCs w:val="32"/>
          <w:shd w:val="clear" w:color="auto" w:fill="FFFFFF"/>
        </w:rPr>
        <w:t>．推进企业注销便利化。实施对未开业以及无债权债务非上市企业、个体工商户实行简易注销程序。完善企业注销网上服务平台，优化注销办理流程。建立企业破产案件简化审理模式，对资产数额不大、经营地域不广的企业实行简易破产程序。开展个人破产制度改革试点。</w:t>
      </w:r>
      <w:r>
        <w:rPr>
          <w:rFonts w:ascii="Times New Roman" w:eastAsia="方正楷体_GBK" w:cs="方正楷体_GBK" w:hint="eastAsia"/>
          <w:snapToGrid w:val="0"/>
          <w:kern w:val="0"/>
          <w:sz w:val="32"/>
          <w:szCs w:val="32"/>
          <w:shd w:val="clear" w:color="auto" w:fill="FFFFFF"/>
        </w:rPr>
        <w:t>（市高法院、市发展改革委、市市场监管局、市司法局、重庆市税务局等按职责分工对接落实）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（三）全面完善公平竞争制度</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8</w:t>
      </w:r>
      <w:r>
        <w:rPr>
          <w:rFonts w:ascii="Times New Roman" w:cs="方正仿宋_GBK" w:hint="eastAsia"/>
          <w:snapToGrid w:val="0"/>
          <w:kern w:val="0"/>
          <w:sz w:val="32"/>
          <w:szCs w:val="32"/>
          <w:shd w:val="clear" w:color="auto" w:fill="FFFFFF"/>
        </w:rPr>
        <w:t>．增强公平竞争审查制度刚性约束。探索建立公平竞争审查举报处理和回应机制，及时核查举报涉及的问题。健全公平竞争审查机制，进一步明确和细化纳入审查范围的政策措施类别。出台公平竞争审查例外规定适用指南，建立例外规定动态调整和重大事项实时调整机制。研究制定行业性审查规则，进一步细化认定标准。</w:t>
      </w:r>
      <w:r>
        <w:rPr>
          <w:rFonts w:ascii="Times New Roman" w:eastAsia="方正楷体_GBK" w:cs="方正楷体_GBK" w:hint="eastAsia"/>
          <w:snapToGrid w:val="0"/>
          <w:kern w:val="0"/>
          <w:sz w:val="32"/>
          <w:szCs w:val="32"/>
          <w:shd w:val="clear" w:color="auto" w:fill="FFFFFF"/>
        </w:rPr>
        <w:t>（市市场监管局、市发展改革委、市商务委等按职责分工对接落实）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lastRenderedPageBreak/>
        <w:t>9</w:t>
      </w:r>
      <w:r>
        <w:rPr>
          <w:rFonts w:ascii="Times New Roman" w:cs="方正仿宋_GBK" w:hint="eastAsia"/>
          <w:snapToGrid w:val="0"/>
          <w:kern w:val="0"/>
          <w:sz w:val="32"/>
          <w:szCs w:val="32"/>
          <w:shd w:val="clear" w:color="auto" w:fill="FFFFFF"/>
        </w:rPr>
        <w:t>．加强和改进反垄断与反不正当竞争执法。坚决反对垄断和不正当竞争行为。制定原料药等专项领域反垄断指南、豁免制度适用指南，出台实施企业境外反垄断合规指引。推动完善平台</w:t>
      </w:r>
      <w:r>
        <w:rPr>
          <w:rFonts w:ascii="Times New Roman" w:cs="方正仿宋_GBK" w:hint="eastAsia"/>
          <w:snapToGrid w:val="0"/>
          <w:kern w:val="0"/>
          <w:sz w:val="32"/>
          <w:szCs w:val="32"/>
          <w:shd w:val="clear" w:color="auto" w:fill="FFFFFF"/>
        </w:rPr>
        <w:t>企业垄断认定、数据收集使用管理、消费者权益保护等方面的法律规范。加强平台经济、共享经济等新业态领域反垄断和反不正当竞争规制。完善涉企收费目录清单制度，严厉查处涉企违规收费行为。</w:t>
      </w:r>
      <w:r>
        <w:rPr>
          <w:rFonts w:ascii="Times New Roman" w:eastAsia="方正楷体_GBK" w:cs="方正楷体_GBK" w:hint="eastAsia"/>
          <w:snapToGrid w:val="0"/>
          <w:kern w:val="0"/>
          <w:sz w:val="32"/>
          <w:szCs w:val="32"/>
          <w:shd w:val="clear" w:color="auto" w:fill="FFFFFF"/>
        </w:rPr>
        <w:t>（市市场监管局、市发展改革委、市财政局等按职责分工对接落实）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10</w:t>
      </w:r>
      <w:r>
        <w:rPr>
          <w:rFonts w:ascii="Times New Roman" w:cs="方正仿宋_GBK" w:hint="eastAsia"/>
          <w:snapToGrid w:val="0"/>
          <w:kern w:val="0"/>
          <w:sz w:val="32"/>
          <w:szCs w:val="32"/>
          <w:shd w:val="clear" w:color="auto" w:fill="FFFFFF"/>
        </w:rPr>
        <w:t>．破除区域分割和地方保护。完善市场竞争状况评估制度。鼓励各地区构建跨区域的统一市场准入服务系统，统一身份实名认证互认、统一名称自主申报行业字词库、统一企业经营范围库，实现跨区域注册登记无差别标准。除法律法规明确规定外，不得要求企业必须在某地登记注册，不得为企业跨区域迁移</w:t>
      </w:r>
      <w:r>
        <w:rPr>
          <w:rFonts w:ascii="Times New Roman" w:cs="方正仿宋_GBK" w:hint="eastAsia"/>
          <w:snapToGrid w:val="0"/>
          <w:kern w:val="0"/>
          <w:sz w:val="32"/>
          <w:szCs w:val="32"/>
          <w:shd w:val="clear" w:color="auto" w:fill="FFFFFF"/>
        </w:rPr>
        <w:t>设置障碍。构建跨区域的市场监管案件移送、执法协助、联合执法机制，针对新型、疑难、典型案件，畅通会商渠道，互通裁量标准。</w:t>
      </w:r>
      <w:r>
        <w:rPr>
          <w:rFonts w:ascii="Times New Roman" w:eastAsia="方正楷体_GBK" w:cs="方正楷体_GBK" w:hint="eastAsia"/>
          <w:snapToGrid w:val="0"/>
          <w:kern w:val="0"/>
          <w:sz w:val="32"/>
          <w:szCs w:val="32"/>
          <w:shd w:val="clear" w:color="auto" w:fill="FFFFFF"/>
        </w:rPr>
        <w:t>（市市场监管局对接落实）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黑体_GBK" w:cs="方正黑体_GBK"/>
          <w:bCs/>
          <w:snapToGrid w:val="0"/>
          <w:kern w:val="0"/>
          <w:sz w:val="32"/>
          <w:szCs w:val="32"/>
        </w:rPr>
      </w:pPr>
      <w:r>
        <w:rPr>
          <w:rFonts w:ascii="Times New Roman" w:eastAsia="方正黑体_GBK" w:cs="方正黑体_GBK" w:hint="eastAsia"/>
          <w:bCs/>
          <w:snapToGrid w:val="0"/>
          <w:kern w:val="0"/>
          <w:sz w:val="32"/>
          <w:szCs w:val="32"/>
          <w:shd w:val="clear" w:color="auto" w:fill="FFFFFF"/>
        </w:rPr>
        <w:t>二、推进要素资源高效配置</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（四）推动经营性土地要素市场化配置</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spacing w:val="-6"/>
          <w:kern w:val="0"/>
          <w:sz w:val="32"/>
          <w:szCs w:val="32"/>
          <w:shd w:val="clear" w:color="auto" w:fill="FFFFFF"/>
        </w:rPr>
      </w:pPr>
      <w:r>
        <w:rPr>
          <w:rFonts w:ascii="Times New Roman" w:cs="方正仿宋_GBK" w:hint="eastAsia"/>
          <w:snapToGrid w:val="0"/>
          <w:kern w:val="0"/>
          <w:sz w:val="32"/>
          <w:szCs w:val="32"/>
          <w:shd w:val="clear" w:color="auto" w:fill="FFFFFF"/>
        </w:rPr>
        <w:t>11</w:t>
      </w:r>
      <w:r>
        <w:rPr>
          <w:rFonts w:ascii="Times New Roman" w:cs="方正仿宋_GBK" w:hint="eastAsia"/>
          <w:snapToGrid w:val="0"/>
          <w:kern w:val="0"/>
          <w:sz w:val="32"/>
          <w:szCs w:val="32"/>
          <w:shd w:val="clear" w:color="auto" w:fill="FFFFFF"/>
        </w:rPr>
        <w:t>．</w:t>
      </w:r>
      <w:r>
        <w:rPr>
          <w:rFonts w:ascii="Times New Roman" w:cs="方正仿宋_GBK" w:hint="eastAsia"/>
          <w:snapToGrid w:val="0"/>
          <w:spacing w:val="-6"/>
          <w:kern w:val="0"/>
          <w:sz w:val="32"/>
          <w:szCs w:val="32"/>
          <w:shd w:val="clear" w:color="auto" w:fill="FFFFFF"/>
        </w:rPr>
        <w:t>深化土地管理制度改革。加强对土地利用计划的管理和跟踪评估，完善年度建设用地总量调控制度，健全重大项目用地保障机制，实施“增存挂钩”，城乡建设用地指标使用应更多由省级政府负责。推进委托用地审批权试点，建立健全省级政府用地审批工</w:t>
      </w:r>
      <w:r>
        <w:rPr>
          <w:rFonts w:ascii="Times New Roman" w:cs="方正仿宋_GBK" w:hint="eastAsia"/>
          <w:snapToGrid w:val="0"/>
          <w:spacing w:val="-6"/>
          <w:kern w:val="0"/>
          <w:sz w:val="32"/>
          <w:szCs w:val="32"/>
          <w:shd w:val="clear" w:color="auto" w:fill="FFFFFF"/>
        </w:rPr>
        <w:lastRenderedPageBreak/>
        <w:t>作评价机制，根据各省（自治区、直辖市）土地管理水平综合评价结果，动态调整试点省份。</w:t>
      </w:r>
      <w:r>
        <w:rPr>
          <w:rFonts w:ascii="Times New Roman" w:eastAsia="方正楷体_GBK" w:cs="方正楷体_GBK" w:hint="eastAsia"/>
          <w:snapToGrid w:val="0"/>
          <w:spacing w:val="-6"/>
          <w:kern w:val="0"/>
          <w:sz w:val="32"/>
          <w:szCs w:val="32"/>
          <w:shd w:val="clear" w:color="auto" w:fill="FFFFFF"/>
        </w:rPr>
        <w:t>（市规划自然资源局对接落实）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12</w:t>
      </w:r>
      <w:r>
        <w:rPr>
          <w:rFonts w:ascii="Times New Roman" w:cs="方正仿宋_GBK" w:hint="eastAsia"/>
          <w:snapToGrid w:val="0"/>
          <w:kern w:val="0"/>
          <w:sz w:val="32"/>
          <w:szCs w:val="32"/>
          <w:shd w:val="clear" w:color="auto" w:fill="FFFFFF"/>
        </w:rPr>
        <w:t>．完善建设用地市场体系。在符合国土空间规划和用途管制要求前提下，推动不同产业用地类型合理转换，探索增加混合产业用地供给。积极探索实施农村集体经营性建设用地入市制度。加快推进</w:t>
      </w:r>
      <w:r>
        <w:rPr>
          <w:rFonts w:ascii="Times New Roman" w:cs="方正仿宋_GBK" w:hint="eastAsia"/>
          <w:snapToGrid w:val="0"/>
          <w:kern w:val="0"/>
          <w:sz w:val="32"/>
          <w:szCs w:val="32"/>
          <w:shd w:val="clear" w:color="auto" w:fill="FFFFFF"/>
        </w:rPr>
        <w:t>城乡统一的建设用地市场建设，统一交易规则和交易平台，完善城乡基准地价、标定地价的制定与发布制度，形成与市场价格挂钩的动态调整机制。</w:t>
      </w:r>
      <w:r>
        <w:rPr>
          <w:rFonts w:ascii="Times New Roman" w:eastAsia="方正楷体_GBK" w:cs="方正楷体_GBK" w:hint="eastAsia"/>
          <w:snapToGrid w:val="0"/>
          <w:kern w:val="0"/>
          <w:sz w:val="32"/>
          <w:szCs w:val="32"/>
          <w:shd w:val="clear" w:color="auto" w:fill="FFFFFF"/>
        </w:rPr>
        <w:t>（市规划自然资源局对接落实）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13</w:t>
      </w:r>
      <w:r>
        <w:rPr>
          <w:rFonts w:ascii="Times New Roman" w:cs="方正仿宋_GBK" w:hint="eastAsia"/>
          <w:snapToGrid w:val="0"/>
          <w:kern w:val="0"/>
          <w:sz w:val="32"/>
          <w:szCs w:val="32"/>
          <w:shd w:val="clear" w:color="auto" w:fill="FFFFFF"/>
        </w:rPr>
        <w:t>．开展土地指标跨区域交易试点。对城乡建设用地增减挂钩节余指标跨省域调剂政策实施评估，探索建立全国性的建设用地指标跨区域交易机制。改进完善跨省域补充耕地国家统筹机制，稳妥推进补充耕地国家统筹实施。在有条件的地方探索建立省域内跨区域补充耕地指标交易市场，完善交易规则和服务体系</w:t>
      </w:r>
      <w:r>
        <w:rPr>
          <w:rFonts w:ascii="Times New Roman" w:eastAsia="方正黑体_GBK" w:cs="方正黑体_GBK" w:hint="eastAsia"/>
          <w:snapToGrid w:val="0"/>
          <w:kern w:val="0"/>
          <w:sz w:val="32"/>
          <w:szCs w:val="32"/>
          <w:shd w:val="clear" w:color="auto" w:fill="FFFFFF"/>
        </w:rPr>
        <w:t>。</w:t>
      </w:r>
      <w:r>
        <w:rPr>
          <w:rFonts w:ascii="Times New Roman" w:eastAsia="方正楷体_GBK" w:cs="方正楷体_GBK" w:hint="eastAsia"/>
          <w:snapToGrid w:val="0"/>
          <w:kern w:val="0"/>
          <w:sz w:val="32"/>
          <w:szCs w:val="32"/>
          <w:shd w:val="clear" w:color="auto" w:fill="FFFFFF"/>
        </w:rPr>
        <w:t>（市规划自然资源局、市农业农村委、市财政局等按职责分工对接落实）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rPr>
      </w:pPr>
      <w:r>
        <w:rPr>
          <w:rFonts w:ascii="Times New Roman" w:eastAsia="方正楷体_GBK" w:cs="方正楷体_GBK" w:hint="eastAsia"/>
          <w:snapToGrid w:val="0"/>
          <w:kern w:val="0"/>
          <w:sz w:val="32"/>
          <w:szCs w:val="32"/>
          <w:shd w:val="clear" w:color="auto" w:fill="FFFFFF"/>
        </w:rPr>
        <w:t>（五）推</w:t>
      </w:r>
      <w:r>
        <w:rPr>
          <w:rFonts w:ascii="Times New Roman" w:eastAsia="方正楷体_GBK" w:cs="方正楷体_GBK" w:hint="eastAsia"/>
          <w:snapToGrid w:val="0"/>
          <w:kern w:val="0"/>
          <w:sz w:val="32"/>
          <w:szCs w:val="32"/>
          <w:shd w:val="clear" w:color="auto" w:fill="FFFFFF"/>
        </w:rPr>
        <w:t>动劳动力要素有序流动</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14</w:t>
      </w:r>
      <w:r>
        <w:rPr>
          <w:rFonts w:ascii="Times New Roman" w:cs="方正仿宋_GBK" w:hint="eastAsia"/>
          <w:snapToGrid w:val="0"/>
          <w:kern w:val="0"/>
          <w:sz w:val="32"/>
          <w:szCs w:val="32"/>
          <w:shd w:val="clear" w:color="auto" w:fill="FFFFFF"/>
        </w:rPr>
        <w:t>．推动户籍准入年限同城化累计互认。除超大、特大城市外，在具备条件的都市圈或城市群探索实行户籍准入年限同城化累计互认，试行以经常居住地登记户口制度，有序引导人口落户。完善全国统一的社会保险公共服务平台，推动社保转移接续。加快建设医疗保障信息系统，构建全国统一、多级互联的数据共享交换体系，促进跨地区、跨层级、跨部门业务协同办理。</w:t>
      </w:r>
      <w:r>
        <w:rPr>
          <w:rFonts w:ascii="Times New Roman" w:eastAsia="方正楷体_GBK" w:cs="方正楷体_GBK" w:hint="eastAsia"/>
          <w:snapToGrid w:val="0"/>
          <w:kern w:val="0"/>
          <w:sz w:val="32"/>
          <w:szCs w:val="32"/>
          <w:shd w:val="clear" w:color="auto" w:fill="FFFFFF"/>
        </w:rPr>
        <w:t>（市公</w:t>
      </w:r>
      <w:r>
        <w:rPr>
          <w:rFonts w:ascii="Times New Roman" w:eastAsia="方正楷体_GBK" w:cs="方正楷体_GBK" w:hint="eastAsia"/>
          <w:snapToGrid w:val="0"/>
          <w:kern w:val="0"/>
          <w:sz w:val="32"/>
          <w:szCs w:val="32"/>
          <w:shd w:val="clear" w:color="auto" w:fill="FFFFFF"/>
        </w:rPr>
        <w:lastRenderedPageBreak/>
        <w:t>安局、市人力社保局、市医保局、市卫生健康委等按职责分工对接落实）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15</w:t>
      </w:r>
      <w:r>
        <w:rPr>
          <w:rFonts w:ascii="Times New Roman" w:cs="方正仿宋_GBK" w:hint="eastAsia"/>
          <w:snapToGrid w:val="0"/>
          <w:kern w:val="0"/>
          <w:sz w:val="32"/>
          <w:szCs w:val="32"/>
          <w:shd w:val="clear" w:color="auto" w:fill="FFFFFF"/>
        </w:rPr>
        <w:t>．提升人力资源服务质量。加快发展人力资源服务业，简化优化人力资源服务许可流程，加强人力资源市场事中事后监管。依托具备较强服务能力和水平的专业化人才服务机构、行业协会学会等社会组织，组建社会化评审机构，对专业性强、社会通用范围广、标准化程度高的职称系列，开展社会化职称评审。</w:t>
      </w:r>
      <w:r>
        <w:rPr>
          <w:rFonts w:ascii="Times New Roman" w:eastAsia="方正楷体_GBK" w:cs="方正楷体_GBK" w:hint="eastAsia"/>
          <w:snapToGrid w:val="0"/>
          <w:kern w:val="0"/>
          <w:sz w:val="32"/>
          <w:szCs w:val="32"/>
          <w:shd w:val="clear" w:color="auto" w:fill="FFFFFF"/>
        </w:rPr>
        <w:t>（市人力社保局对接落实）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（六）促进资本市场健康发展</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16</w:t>
      </w:r>
      <w:r>
        <w:rPr>
          <w:rFonts w:ascii="Times New Roman" w:cs="方正仿宋_GBK" w:hint="eastAsia"/>
          <w:snapToGrid w:val="0"/>
          <w:kern w:val="0"/>
          <w:sz w:val="32"/>
          <w:szCs w:val="32"/>
          <w:shd w:val="clear" w:color="auto" w:fill="FFFFFF"/>
        </w:rPr>
        <w:t>．稳步推进股票发行注册制改革。坚守科创板定位，突出“硬科技”特色，评估完善注册制试点安排，深化以信息披露为核心的股票发行注册制改革。完善投资者保护制度，建立与市场板块、产品风险特</w:t>
      </w:r>
      <w:r>
        <w:rPr>
          <w:rFonts w:ascii="Times New Roman" w:cs="方正仿宋_GBK" w:hint="eastAsia"/>
          <w:snapToGrid w:val="0"/>
          <w:kern w:val="0"/>
          <w:sz w:val="32"/>
          <w:szCs w:val="32"/>
          <w:shd w:val="clear" w:color="auto" w:fill="FFFFFF"/>
        </w:rPr>
        <w:t>点相匹配的投资者适当性制度，鼓励和规范上市公司现金分红。加强资本市场监管，增强监管的全面性、一致性、科学性和有效性，提高监管透明度和法治化水平。监管不到位的金融改革举措不能贸然推出。坚持对违法违规行为零容忍，确保金融改革行稳致远。</w:t>
      </w:r>
      <w:r>
        <w:rPr>
          <w:rFonts w:ascii="Times New Roman" w:eastAsia="方正楷体_GBK" w:cs="方正楷体_GBK" w:hint="eastAsia"/>
          <w:snapToGrid w:val="0"/>
          <w:kern w:val="0"/>
          <w:sz w:val="32"/>
          <w:szCs w:val="32"/>
          <w:shd w:val="clear" w:color="auto" w:fill="FFFFFF"/>
        </w:rPr>
        <w:t>（重庆证监局、人行重庆营管部、市发展改革委、市高法院、市司法局等按职责分工对接落实）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17</w:t>
      </w:r>
      <w:r>
        <w:rPr>
          <w:rFonts w:ascii="Times New Roman" w:cs="方正仿宋_GBK" w:hint="eastAsia"/>
          <w:snapToGrid w:val="0"/>
          <w:kern w:val="0"/>
          <w:sz w:val="32"/>
          <w:szCs w:val="32"/>
          <w:shd w:val="clear" w:color="auto" w:fill="FFFFFF"/>
        </w:rPr>
        <w:t>．</w:t>
      </w:r>
      <w:r>
        <w:rPr>
          <w:rFonts w:ascii="Times New Roman" w:cs="方正仿宋_GBK" w:hint="eastAsia"/>
          <w:snapToGrid w:val="0"/>
          <w:spacing w:val="-6"/>
          <w:kern w:val="0"/>
          <w:sz w:val="32"/>
          <w:szCs w:val="32"/>
          <w:shd w:val="clear" w:color="auto" w:fill="FFFFFF"/>
        </w:rPr>
        <w:t>建立常态化退市机制。进一步完善退市标准，简化退市程序，畅通多元化退出渠道。严格实施退市制度，对触及退市标准的坚决予以退市，对恶意规避退市标准的予以严厉打击。</w:t>
      </w:r>
      <w:r>
        <w:rPr>
          <w:rFonts w:ascii="Times New Roman" w:eastAsia="方正楷体_GBK" w:cs="方正楷体_GBK" w:hint="eastAsia"/>
          <w:snapToGrid w:val="0"/>
          <w:spacing w:val="-6"/>
          <w:kern w:val="0"/>
          <w:sz w:val="32"/>
          <w:szCs w:val="32"/>
          <w:shd w:val="clear" w:color="auto" w:fill="FFFFFF"/>
        </w:rPr>
        <w:t>（重庆证监局、人行重</w:t>
      </w:r>
      <w:r>
        <w:rPr>
          <w:rFonts w:ascii="Times New Roman" w:eastAsia="方正楷体_GBK" w:cs="方正楷体_GBK" w:hint="eastAsia"/>
          <w:snapToGrid w:val="0"/>
          <w:kern w:val="0"/>
          <w:sz w:val="32"/>
          <w:szCs w:val="32"/>
          <w:shd w:val="clear" w:color="auto" w:fill="FFFFFF"/>
        </w:rPr>
        <w:t>庆营管部、市发</w:t>
      </w:r>
      <w:r>
        <w:rPr>
          <w:rFonts w:ascii="Times New Roman" w:eastAsia="方正楷体_GBK" w:cs="方正楷体_GBK" w:hint="eastAsia"/>
          <w:snapToGrid w:val="0"/>
          <w:kern w:val="0"/>
          <w:sz w:val="32"/>
          <w:szCs w:val="32"/>
          <w:shd w:val="clear" w:color="auto" w:fill="FFFFFF"/>
        </w:rPr>
        <w:t>展改革委等按职责分工对接落实）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lastRenderedPageBreak/>
        <w:t>18</w:t>
      </w:r>
      <w:r>
        <w:rPr>
          <w:rFonts w:ascii="Times New Roman" w:cs="方正仿宋_GBK" w:hint="eastAsia"/>
          <w:snapToGrid w:val="0"/>
          <w:kern w:val="0"/>
          <w:sz w:val="32"/>
          <w:szCs w:val="32"/>
          <w:shd w:val="clear" w:color="auto" w:fill="FFFFFF"/>
        </w:rPr>
        <w:t>．培育资本市场机构投资者。稳步推进银行理财子公司和保险资产管理公司设立，鼓励银行及银行理财子公司依法依规与符合条件的证券基金经营机构和创业投资基金、政府出资产业投资基金合作，研究完善保险机构投资私募理财产品、私募股权基金、创业投资基金、政府出资产业投资基金和债转股的相关政策。提高各类养老金、保险资金等长期资金的权益投资比例，开展长周期考核。</w:t>
      </w:r>
      <w:r>
        <w:rPr>
          <w:rFonts w:ascii="Times New Roman" w:eastAsia="方正楷体_GBK" w:cs="方正楷体_GBK" w:hint="eastAsia"/>
          <w:snapToGrid w:val="0"/>
          <w:kern w:val="0"/>
          <w:sz w:val="32"/>
          <w:szCs w:val="32"/>
          <w:shd w:val="clear" w:color="auto" w:fill="FFFFFF"/>
        </w:rPr>
        <w:t>（重庆银保监局、重庆证监局、人行重庆营管部、市发展改革委、市人力社保局等按职责分工对接落实）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19</w:t>
      </w:r>
      <w:r>
        <w:rPr>
          <w:rFonts w:ascii="Times New Roman" w:cs="方正仿宋_GBK" w:hint="eastAsia"/>
          <w:snapToGrid w:val="0"/>
          <w:kern w:val="0"/>
          <w:sz w:val="32"/>
          <w:szCs w:val="32"/>
          <w:shd w:val="clear" w:color="auto" w:fill="FFFFFF"/>
        </w:rPr>
        <w:t>．降低实体经济融资成本。健全市场化利</w:t>
      </w:r>
      <w:r>
        <w:rPr>
          <w:rFonts w:ascii="Times New Roman" w:cs="方正仿宋_GBK" w:hint="eastAsia"/>
          <w:snapToGrid w:val="0"/>
          <w:kern w:val="0"/>
          <w:sz w:val="32"/>
          <w:szCs w:val="32"/>
          <w:shd w:val="clear" w:color="auto" w:fill="FFFFFF"/>
        </w:rPr>
        <w:t>率形成和传导机制，促进银行对贷款市场报价利率（</w:t>
      </w:r>
      <w:r>
        <w:rPr>
          <w:rFonts w:ascii="Times New Roman" w:cs="方正仿宋_GBK" w:hint="eastAsia"/>
          <w:snapToGrid w:val="0"/>
          <w:kern w:val="0"/>
          <w:sz w:val="32"/>
          <w:szCs w:val="32"/>
          <w:shd w:val="clear" w:color="auto" w:fill="FFFFFF"/>
        </w:rPr>
        <w:t>LPR</w:t>
      </w:r>
      <w:r>
        <w:rPr>
          <w:rFonts w:ascii="Times New Roman" w:cs="方正仿宋_GBK" w:hint="eastAsia"/>
          <w:snapToGrid w:val="0"/>
          <w:kern w:val="0"/>
          <w:sz w:val="32"/>
          <w:szCs w:val="32"/>
          <w:shd w:val="clear" w:color="auto" w:fill="FFFFFF"/>
        </w:rPr>
        <w:t>）的运用，引导督促金融机构合理定价，发挥好定向降准、再贷款、再贴现等货币政策工具的引导作用。积极稳妥发展普惠金融，积极稳妥推进金融产品和服务方式创新。加大“信易贷”模式推广力度，支持开展信用融资，拓展贷款抵押质押物范围。</w:t>
      </w:r>
      <w:r>
        <w:rPr>
          <w:rFonts w:ascii="Times New Roman" w:eastAsia="方正楷体_GBK" w:cs="方正楷体_GBK" w:hint="eastAsia"/>
          <w:snapToGrid w:val="0"/>
          <w:kern w:val="0"/>
          <w:sz w:val="32"/>
          <w:szCs w:val="32"/>
          <w:shd w:val="clear" w:color="auto" w:fill="FFFFFF"/>
        </w:rPr>
        <w:t>（人行重庆营管部、重庆银保监局、市发展改革委等按职责分工对接落实）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（七）发展知识、技术和数据要素市场</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20</w:t>
      </w:r>
      <w:r>
        <w:rPr>
          <w:rFonts w:ascii="Times New Roman" w:cs="方正仿宋_GBK" w:hint="eastAsia"/>
          <w:snapToGrid w:val="0"/>
          <w:kern w:val="0"/>
          <w:sz w:val="32"/>
          <w:szCs w:val="32"/>
          <w:shd w:val="clear" w:color="auto" w:fill="FFFFFF"/>
        </w:rPr>
        <w:t>．创新促进科技成果转化机制。制定出台完善科技成果评价机制、促进科技成果转化的意见，提升技术要素市场化配置能力。修订发布技术合同认定规</w:t>
      </w:r>
      <w:r>
        <w:rPr>
          <w:rFonts w:ascii="Times New Roman" w:cs="方正仿宋_GBK" w:hint="eastAsia"/>
          <w:snapToGrid w:val="0"/>
          <w:kern w:val="0"/>
          <w:sz w:val="32"/>
          <w:szCs w:val="32"/>
          <w:shd w:val="clear" w:color="auto" w:fill="FFFFFF"/>
        </w:rPr>
        <w:t>则及科技成果登记办法，加强对技术合同和科技成果的规范管理。完善国家技术转移体系，培育发展国家技术转移机构，建立国家技术转移人才培养体系，提高技术转移人员的技术评价与筛选、知识产权运营、商业化咨询等专</w:t>
      </w:r>
      <w:r>
        <w:rPr>
          <w:rFonts w:ascii="Times New Roman" w:cs="方正仿宋_GBK" w:hint="eastAsia"/>
          <w:snapToGrid w:val="0"/>
          <w:kern w:val="0"/>
          <w:sz w:val="32"/>
          <w:szCs w:val="32"/>
          <w:shd w:val="clear" w:color="auto" w:fill="FFFFFF"/>
        </w:rPr>
        <w:lastRenderedPageBreak/>
        <w:t>业服务能力。</w:t>
      </w:r>
      <w:r>
        <w:rPr>
          <w:rFonts w:ascii="Times New Roman" w:eastAsia="方正楷体_GBK" w:cs="方正楷体_GBK" w:hint="eastAsia"/>
          <w:snapToGrid w:val="0"/>
          <w:kern w:val="0"/>
          <w:sz w:val="32"/>
          <w:szCs w:val="32"/>
          <w:shd w:val="clear" w:color="auto" w:fill="FFFFFF"/>
        </w:rPr>
        <w:t>（市科技局、市教委、市知识产权局等按职责分工对接落实）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21</w:t>
      </w:r>
      <w:r>
        <w:rPr>
          <w:rFonts w:ascii="Times New Roman" w:cs="方正仿宋_GBK" w:hint="eastAsia"/>
          <w:snapToGrid w:val="0"/>
          <w:kern w:val="0"/>
          <w:sz w:val="32"/>
          <w:szCs w:val="32"/>
          <w:shd w:val="clear" w:color="auto" w:fill="FFFFFF"/>
        </w:rPr>
        <w:t>．健全职务科技成果产权制度。深入开展赋予科研人员职务科技成果所有权或长期使用权试点，探索职务科技成果产权激励新模式。适时总结试点经验，完善职务科技成果转化激励政策和科研人员职务发明成果权益分享机制。</w:t>
      </w:r>
      <w:r>
        <w:rPr>
          <w:rFonts w:ascii="Times New Roman" w:eastAsia="方正楷体_GBK" w:cs="方正楷体_GBK" w:hint="eastAsia"/>
          <w:snapToGrid w:val="0"/>
          <w:kern w:val="0"/>
          <w:sz w:val="32"/>
          <w:szCs w:val="32"/>
          <w:shd w:val="clear" w:color="auto" w:fill="FFFFFF"/>
        </w:rPr>
        <w:t>（市科技局、市财政局、市教委等按职责分工对接</w:t>
      </w:r>
      <w:r>
        <w:rPr>
          <w:rFonts w:ascii="Times New Roman" w:eastAsia="方正楷体_GBK" w:cs="方正楷体_GBK" w:hint="eastAsia"/>
          <w:snapToGrid w:val="0"/>
          <w:kern w:val="0"/>
          <w:sz w:val="32"/>
          <w:szCs w:val="32"/>
          <w:shd w:val="clear" w:color="auto" w:fill="FFFFFF"/>
        </w:rPr>
        <w:t>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22</w:t>
      </w:r>
      <w:r>
        <w:rPr>
          <w:rFonts w:ascii="Times New Roman" w:cs="方正仿宋_GBK" w:hint="eastAsia"/>
          <w:snapToGrid w:val="0"/>
          <w:kern w:val="0"/>
          <w:sz w:val="32"/>
          <w:szCs w:val="32"/>
          <w:shd w:val="clear" w:color="auto" w:fill="FFFFFF"/>
        </w:rPr>
        <w:t>．加快培育发展数据要素市场。制定出台新一批数据共享责任清单，加强地区间、部门间数据共享交换。研究制定加快培育数据要素市场的意见，建立数据资源产权、交易流通、跨境传输和安全等基础制度和标准规范，推动数据资源开发利用。积极参与数字领域国际规则和标准制定。</w:t>
      </w:r>
      <w:r>
        <w:rPr>
          <w:rFonts w:ascii="Times New Roman" w:eastAsia="方正楷体_GBK" w:cs="方正楷体_GBK" w:hint="eastAsia"/>
          <w:snapToGrid w:val="0"/>
          <w:kern w:val="0"/>
          <w:sz w:val="32"/>
          <w:szCs w:val="32"/>
          <w:shd w:val="clear" w:color="auto" w:fill="FFFFFF"/>
        </w:rPr>
        <w:t>（市大数据发展局、市发展改革委、市委网信办、市商务委等按职责分工对接落实）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23</w:t>
      </w:r>
      <w:r>
        <w:rPr>
          <w:rFonts w:ascii="Times New Roman" w:cs="方正仿宋_GBK" w:hint="eastAsia"/>
          <w:snapToGrid w:val="0"/>
          <w:kern w:val="0"/>
          <w:sz w:val="32"/>
          <w:szCs w:val="32"/>
          <w:shd w:val="clear" w:color="auto" w:fill="FFFFFF"/>
        </w:rPr>
        <w:t>．设立知识产权和科技成果产权交易机构。支持中国技术交易所、上海技术交易所、深圳证券交易所等机构建设国家知识产权和科技成果产权交易机构，在全国范围内开展知识产权转让、许可等</w:t>
      </w:r>
      <w:r>
        <w:rPr>
          <w:rFonts w:ascii="Times New Roman" w:cs="方正仿宋_GBK" w:hint="eastAsia"/>
          <w:snapToGrid w:val="0"/>
          <w:kern w:val="0"/>
          <w:sz w:val="32"/>
          <w:szCs w:val="32"/>
          <w:shd w:val="clear" w:color="auto" w:fill="FFFFFF"/>
        </w:rPr>
        <w:t>运营服务，加快推进技术交易服务发展。</w:t>
      </w:r>
      <w:r>
        <w:rPr>
          <w:rFonts w:ascii="Times New Roman" w:eastAsia="方正楷体_GBK" w:cs="方正楷体_GBK" w:hint="eastAsia"/>
          <w:snapToGrid w:val="0"/>
          <w:kern w:val="0"/>
          <w:sz w:val="32"/>
          <w:szCs w:val="32"/>
          <w:shd w:val="clear" w:color="auto" w:fill="FFFFFF"/>
        </w:rPr>
        <w:t>（市科技局、市知识产权局、市金融监管局、市国资委等按职责分工对接落实）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黑体_GBK" w:cs="方正黑体_GBK"/>
          <w:bCs/>
          <w:snapToGrid w:val="0"/>
          <w:kern w:val="0"/>
          <w:sz w:val="32"/>
          <w:szCs w:val="32"/>
        </w:rPr>
      </w:pPr>
      <w:r>
        <w:rPr>
          <w:rFonts w:ascii="Times New Roman" w:eastAsia="方正黑体_GBK" w:cs="方正黑体_GBK" w:hint="eastAsia"/>
          <w:bCs/>
          <w:snapToGrid w:val="0"/>
          <w:kern w:val="0"/>
          <w:sz w:val="32"/>
          <w:szCs w:val="32"/>
          <w:shd w:val="clear" w:color="auto" w:fill="FFFFFF"/>
        </w:rPr>
        <w:t>三、改善提升市场环境和质量</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（八）提升商品和服务质量</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24</w:t>
      </w:r>
      <w:r>
        <w:rPr>
          <w:rFonts w:ascii="Times New Roman" w:cs="方正仿宋_GBK" w:hint="eastAsia"/>
          <w:snapToGrid w:val="0"/>
          <w:kern w:val="0"/>
          <w:sz w:val="32"/>
          <w:szCs w:val="32"/>
          <w:shd w:val="clear" w:color="auto" w:fill="FFFFFF"/>
        </w:rPr>
        <w:t>．完善质量管理政策措施。深入实施质量提升行动。进一步完善质量激励政策，建立政府质量奖获奖企业和个人先进质量</w:t>
      </w:r>
      <w:r>
        <w:rPr>
          <w:rFonts w:ascii="Times New Roman" w:cs="方正仿宋_GBK" w:hint="eastAsia"/>
          <w:snapToGrid w:val="0"/>
          <w:kern w:val="0"/>
          <w:sz w:val="32"/>
          <w:szCs w:val="32"/>
          <w:shd w:val="clear" w:color="auto" w:fill="FFFFFF"/>
        </w:rPr>
        <w:lastRenderedPageBreak/>
        <w:t>管理经验宣传推广长效机制。完善企业产品和服务标准自我声明公开和监督制度。完善强制性产品认证制度，建立科学合理的认证目录动态调整机制。健全产品伤害监测与预防干预体系，完善缺陷产品召回制度、产品质量安全事故强制报告制度。</w:t>
      </w:r>
      <w:r>
        <w:rPr>
          <w:rFonts w:ascii="Times New Roman" w:eastAsia="方正楷体_GBK" w:cs="方正楷体_GBK" w:hint="eastAsia"/>
          <w:snapToGrid w:val="0"/>
          <w:kern w:val="0"/>
          <w:sz w:val="32"/>
          <w:szCs w:val="32"/>
          <w:shd w:val="clear" w:color="auto" w:fill="FFFFFF"/>
        </w:rPr>
        <w:t>（市市场监管局对接落实）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25</w:t>
      </w:r>
      <w:r>
        <w:rPr>
          <w:rFonts w:ascii="Times New Roman" w:cs="方正仿宋_GBK" w:hint="eastAsia"/>
          <w:snapToGrid w:val="0"/>
          <w:kern w:val="0"/>
          <w:sz w:val="32"/>
          <w:szCs w:val="32"/>
          <w:shd w:val="clear" w:color="auto" w:fill="FFFFFF"/>
        </w:rPr>
        <w:t>．优化企业标准“领跑者”制度。推动第三方评价机构发布一批企业标准排行榜，引导更多企业声明公开更高质量的标准。修订企业标准化管理办法，整合精简强制性标准。</w:t>
      </w:r>
      <w:r>
        <w:rPr>
          <w:rFonts w:ascii="Times New Roman" w:eastAsia="方正楷体_GBK" w:cs="方正楷体_GBK" w:hint="eastAsia"/>
          <w:snapToGrid w:val="0"/>
          <w:kern w:val="0"/>
          <w:sz w:val="32"/>
          <w:szCs w:val="32"/>
          <w:shd w:val="clear" w:color="auto" w:fill="FFFFFF"/>
        </w:rPr>
        <w:t>（市市场监管局对接落实）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26</w:t>
      </w:r>
      <w:r>
        <w:rPr>
          <w:rFonts w:ascii="Times New Roman" w:cs="方正仿宋_GBK" w:hint="eastAsia"/>
          <w:snapToGrid w:val="0"/>
          <w:kern w:val="0"/>
          <w:sz w:val="32"/>
          <w:szCs w:val="32"/>
          <w:shd w:val="clear" w:color="auto" w:fill="FFFFFF"/>
        </w:rPr>
        <w:t>．进一步发挥品牌的引领作用。加强农产品商标及地理标志商标的注册和保护。组织好中国品牌日活动，健全集体商、标、证明商标注册管理制度，打造一批特色鲜明、竞争力强、市场信誉好的区域品牌。开展促进品牌消费、品质消费“双品网购节”活动。</w:t>
      </w:r>
      <w:r>
        <w:rPr>
          <w:rFonts w:ascii="Times New Roman" w:eastAsia="方正楷体_GBK" w:cs="方正楷体_GBK" w:hint="eastAsia"/>
          <w:snapToGrid w:val="0"/>
          <w:kern w:val="0"/>
          <w:sz w:val="32"/>
          <w:szCs w:val="32"/>
          <w:shd w:val="clear" w:color="auto" w:fill="FFFFFF"/>
        </w:rPr>
        <w:t>（市发展改革委、市市场监管局、市经济信息委、市商务委、市农业农村委、市知识产权局等按职责分工对接落</w:t>
      </w:r>
      <w:r>
        <w:rPr>
          <w:rFonts w:ascii="Times New Roman" w:eastAsia="方正楷体_GBK" w:cs="方正楷体_GBK" w:hint="eastAsia"/>
          <w:snapToGrid w:val="0"/>
          <w:kern w:val="0"/>
          <w:sz w:val="32"/>
          <w:szCs w:val="32"/>
          <w:shd w:val="clear" w:color="auto" w:fill="FFFFFF"/>
        </w:rPr>
        <w:t>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27</w:t>
      </w:r>
      <w:r>
        <w:rPr>
          <w:rFonts w:ascii="Times New Roman" w:cs="方正仿宋_GBK" w:hint="eastAsia"/>
          <w:snapToGrid w:val="0"/>
          <w:kern w:val="0"/>
          <w:sz w:val="32"/>
          <w:szCs w:val="32"/>
          <w:shd w:val="clear" w:color="auto" w:fill="FFFFFF"/>
        </w:rPr>
        <w:t>．推动商品市场创新发展。建立重点市场联系机制，开展商品市场优化升级专项行动，培育一批商品经营特色突出、产业链供应链服务功能强大、线上线下融合发展的商品市场示范基地。</w:t>
      </w:r>
      <w:r>
        <w:rPr>
          <w:rFonts w:ascii="Times New Roman" w:eastAsia="方正楷体_GBK" w:cs="方正楷体_GBK" w:hint="eastAsia"/>
          <w:snapToGrid w:val="0"/>
          <w:kern w:val="0"/>
          <w:sz w:val="32"/>
          <w:szCs w:val="32"/>
          <w:shd w:val="clear" w:color="auto" w:fill="FFFFFF"/>
        </w:rPr>
        <w:t>（市商务委对接落实）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rPr>
      </w:pPr>
      <w:r>
        <w:rPr>
          <w:rFonts w:ascii="Times New Roman" w:eastAsia="方正楷体_GBK" w:cs="方正楷体_GBK" w:hint="eastAsia"/>
          <w:snapToGrid w:val="0"/>
          <w:kern w:val="0"/>
          <w:sz w:val="32"/>
          <w:szCs w:val="32"/>
          <w:shd w:val="clear" w:color="auto" w:fill="FFFFFF"/>
        </w:rPr>
        <w:t>（九）强化消费者权益保护</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28</w:t>
      </w:r>
      <w:r>
        <w:rPr>
          <w:rFonts w:ascii="Times New Roman" w:cs="方正仿宋_GBK" w:hint="eastAsia"/>
          <w:snapToGrid w:val="0"/>
          <w:kern w:val="0"/>
          <w:sz w:val="32"/>
          <w:szCs w:val="32"/>
          <w:shd w:val="clear" w:color="auto" w:fill="FFFFFF"/>
        </w:rPr>
        <w:t>．加强消费维权制度建设。制定消费者权益保护法实施条例。健全消费者公益诉讼制度，探索建立消费者集体诉讼制度，</w:t>
      </w:r>
      <w:r>
        <w:rPr>
          <w:rFonts w:ascii="Times New Roman" w:cs="方正仿宋_GBK" w:hint="eastAsia"/>
          <w:snapToGrid w:val="0"/>
          <w:kern w:val="0"/>
          <w:sz w:val="32"/>
          <w:szCs w:val="32"/>
          <w:shd w:val="clear" w:color="auto" w:fill="FFFFFF"/>
        </w:rPr>
        <w:lastRenderedPageBreak/>
        <w:t>在诉讼程序、庭审过程、举证责任等方面加强对消费者的司法保护。支持消费者协会行使公益性诉讼权利。</w:t>
      </w:r>
      <w:r>
        <w:rPr>
          <w:rFonts w:ascii="Times New Roman" w:eastAsia="方正楷体_GBK" w:cs="方正楷体_GBK" w:hint="eastAsia"/>
          <w:snapToGrid w:val="0"/>
          <w:kern w:val="0"/>
          <w:sz w:val="32"/>
          <w:szCs w:val="32"/>
          <w:shd w:val="clear" w:color="auto" w:fill="FFFFFF"/>
        </w:rPr>
        <w:t>（市人大常委会法工委、市市场监管局、市司法局、市高法院等按职责分工对接落实）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29</w:t>
      </w:r>
      <w:r>
        <w:rPr>
          <w:rFonts w:ascii="Times New Roman" w:cs="方正仿宋_GBK" w:hint="eastAsia"/>
          <w:snapToGrid w:val="0"/>
          <w:kern w:val="0"/>
          <w:sz w:val="32"/>
          <w:szCs w:val="32"/>
          <w:shd w:val="clear" w:color="auto" w:fill="FFFFFF"/>
        </w:rPr>
        <w:t>．简化消费争议处理程序。尽快明确小额消费纠纷的数额，完善小额消费纠纷司法程序，鼓励小额消费纠纷案件通过进入小额诉讼程序实现快速处理。完善消费纠纷在线解决机制，畅通投诉举报渠道，探索建立维权处理结果消费者反馈评价机制。</w:t>
      </w:r>
      <w:r>
        <w:rPr>
          <w:rFonts w:ascii="Times New Roman" w:eastAsia="方正楷体_GBK" w:cs="方正楷体_GBK" w:hint="eastAsia"/>
          <w:snapToGrid w:val="0"/>
          <w:kern w:val="0"/>
          <w:sz w:val="32"/>
          <w:szCs w:val="32"/>
          <w:shd w:val="clear" w:color="auto" w:fill="FFFFFF"/>
        </w:rPr>
        <w:t>（市高法院、市市场监管局等按职责分工对接落实）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（十）强化市场基础设施建设</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30</w:t>
      </w:r>
      <w:r>
        <w:rPr>
          <w:rFonts w:ascii="Times New Roman" w:cs="方正仿宋_GBK" w:hint="eastAsia"/>
          <w:snapToGrid w:val="0"/>
          <w:kern w:val="0"/>
          <w:sz w:val="32"/>
          <w:szCs w:val="32"/>
          <w:shd w:val="clear" w:color="auto" w:fill="FFFFFF"/>
        </w:rPr>
        <w:t>．推动市场基础设施互联互通。持续完善综合立体交通网络。加强新一代信息技术在铁路、公路、水运、民航、邮政等领域的应用，提升综合运行效能。支持公共性快递分拣处理中心、智能投递设施等建设。打造一批物联网产业基地和物联网</w:t>
      </w:r>
      <w:r>
        <w:rPr>
          <w:rFonts w:ascii="Times New Roman" w:cs="方正仿宋_GBK" w:hint="eastAsia"/>
          <w:snapToGrid w:val="0"/>
          <w:kern w:val="0"/>
          <w:sz w:val="32"/>
          <w:szCs w:val="32"/>
          <w:shd w:val="clear" w:color="auto" w:fill="FFFFFF"/>
        </w:rPr>
        <w:t>技术应用示范城市。持续支持中西部地区城乡结合部、县域和农村商贸基础设施建设和协同共享，畅通区域间、城乡间流通网络。</w:t>
      </w:r>
      <w:r>
        <w:rPr>
          <w:rFonts w:ascii="Times New Roman" w:eastAsia="方正楷体_GBK" w:cs="方正楷体_GBK" w:hint="eastAsia"/>
          <w:snapToGrid w:val="0"/>
          <w:kern w:val="0"/>
          <w:sz w:val="32"/>
          <w:szCs w:val="32"/>
          <w:shd w:val="clear" w:color="auto" w:fill="FFFFFF"/>
        </w:rPr>
        <w:t>（市发展改革委、市交通局、市通信管理局、市商务委、重庆铁路办事处、民航重庆监管局、市邮政管理局等按职责分工对接落实）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31</w:t>
      </w:r>
      <w:r>
        <w:rPr>
          <w:rFonts w:ascii="Times New Roman" w:cs="方正仿宋_GBK" w:hint="eastAsia"/>
          <w:snapToGrid w:val="0"/>
          <w:kern w:val="0"/>
          <w:sz w:val="32"/>
          <w:szCs w:val="32"/>
          <w:shd w:val="clear" w:color="auto" w:fill="FFFFFF"/>
        </w:rPr>
        <w:t>．实施智能市场发展示范工程。积极发展“智慧商店”、“智慧街区”、“智慧商圈”、“智慧社区”，建设一批智能消费综合体验馆。加大新型基础设施投资力度，推动第五代移动通信、物联网、工业互联网等通信网络基础设施，人工智能、云计算、区块链等新技术基础设施，数据中心、智能计算中心等算力</w:t>
      </w:r>
      <w:r>
        <w:rPr>
          <w:rFonts w:ascii="Times New Roman" w:cs="方正仿宋_GBK" w:hint="eastAsia"/>
          <w:snapToGrid w:val="0"/>
          <w:kern w:val="0"/>
          <w:sz w:val="32"/>
          <w:szCs w:val="32"/>
          <w:shd w:val="clear" w:color="auto" w:fill="FFFFFF"/>
        </w:rPr>
        <w:lastRenderedPageBreak/>
        <w:t>基</w:t>
      </w:r>
      <w:r>
        <w:rPr>
          <w:rFonts w:ascii="Times New Roman" w:cs="方正仿宋_GBK" w:hint="eastAsia"/>
          <w:snapToGrid w:val="0"/>
          <w:kern w:val="0"/>
          <w:sz w:val="32"/>
          <w:szCs w:val="32"/>
          <w:shd w:val="clear" w:color="auto" w:fill="FFFFFF"/>
        </w:rPr>
        <w:t>础设施建设。结合京津冀、粤港澳大湾区、长三角及海南自由贸易港等区域市场发展需求，针对跨境电商、跨境寄递物流、跨境支付和供应链管理等典型场景，构建安全便利的国际互联网数据专用通道和国际化数据信息专用通道。</w:t>
      </w:r>
      <w:r>
        <w:rPr>
          <w:rFonts w:ascii="Times New Roman" w:eastAsia="方正楷体_GBK" w:cs="方正楷体_GBK" w:hint="eastAsia"/>
          <w:snapToGrid w:val="0"/>
          <w:kern w:val="0"/>
          <w:sz w:val="32"/>
          <w:szCs w:val="32"/>
          <w:shd w:val="clear" w:color="auto" w:fill="FFFFFF"/>
        </w:rPr>
        <w:t>（市经济信息委、市发展改革委、市大数据发展局、市商务委、市通信管理局、市科技局、人行重庆营管部等按职责分工对接落实）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32</w:t>
      </w:r>
      <w:r>
        <w:rPr>
          <w:rFonts w:ascii="Times New Roman" w:cs="方正仿宋_GBK" w:hint="eastAsia"/>
          <w:snapToGrid w:val="0"/>
          <w:kern w:val="0"/>
          <w:sz w:val="32"/>
          <w:szCs w:val="32"/>
          <w:shd w:val="clear" w:color="auto" w:fill="FFFFFF"/>
        </w:rPr>
        <w:t>．引导平台企业健康发展。支持平台企业创新发展，增强国际竞争力。实施教育、医疗、快递物流等网络基础设施改造提升工程，推动互联网医疗、在线教育、第三方物流、即时递送、在线办公、网上办事等新型服</w:t>
      </w:r>
      <w:r>
        <w:rPr>
          <w:rFonts w:ascii="Times New Roman" w:cs="方正仿宋_GBK" w:hint="eastAsia"/>
          <w:snapToGrid w:val="0"/>
          <w:kern w:val="0"/>
          <w:sz w:val="32"/>
          <w:szCs w:val="32"/>
          <w:shd w:val="clear" w:color="auto" w:fill="FFFFFF"/>
        </w:rPr>
        <w:t>务平台发展，有效发挥平台企业在要素配置中的优化集成作用。畅通市场数据信息流，整合线上线下支付交易数据，推动实现跨部门共享。依法规范发展平台经济，强化对平台企业监管。</w:t>
      </w:r>
      <w:r>
        <w:rPr>
          <w:rFonts w:ascii="Times New Roman" w:eastAsia="方正楷体_GBK" w:cs="方正楷体_GBK" w:hint="eastAsia"/>
          <w:snapToGrid w:val="0"/>
          <w:kern w:val="0"/>
          <w:sz w:val="32"/>
          <w:szCs w:val="32"/>
          <w:shd w:val="clear" w:color="auto" w:fill="FFFFFF"/>
        </w:rPr>
        <w:t>（市大数据发展局、市市场监管局、市发展改革委、市商务委、市教委、市卫生健康委、市经济信息委、人行重庆营管部、市邮政管理局等按职责分工对接落实）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33</w:t>
      </w:r>
      <w:r>
        <w:rPr>
          <w:rFonts w:ascii="Times New Roman" w:cs="方正仿宋_GBK" w:hint="eastAsia"/>
          <w:snapToGrid w:val="0"/>
          <w:kern w:val="0"/>
          <w:sz w:val="32"/>
          <w:szCs w:val="32"/>
          <w:shd w:val="clear" w:color="auto" w:fill="FFFFFF"/>
        </w:rPr>
        <w:t>．培育发展能源商品交易平台。通过股份制改造、兼并重组等多种方式，在油气、电力、煤炭等领域积极培育形成运营规范、具有较大影响力的交易平台。支持上海期货交易所、全国电力交易机构、全国煤炭交易中心充分发挥作</w:t>
      </w:r>
      <w:r>
        <w:rPr>
          <w:rFonts w:ascii="Times New Roman" w:cs="方正仿宋_GBK" w:hint="eastAsia"/>
          <w:snapToGrid w:val="0"/>
          <w:kern w:val="0"/>
          <w:sz w:val="32"/>
          <w:szCs w:val="32"/>
          <w:shd w:val="clear" w:color="auto" w:fill="FFFFFF"/>
        </w:rPr>
        <w:t>用，进一步健全交易机制、完善交易规则、严格监管标准。鼓励具备条件的资源型地区依托现有交易场所，探索建设区域性能源资源交易中心。</w:t>
      </w:r>
      <w:r>
        <w:rPr>
          <w:rFonts w:ascii="Times New Roman" w:eastAsia="方正楷体_GBK" w:cs="方正楷体_GBK" w:hint="eastAsia"/>
          <w:snapToGrid w:val="0"/>
          <w:kern w:val="0"/>
          <w:sz w:val="32"/>
          <w:szCs w:val="32"/>
          <w:shd w:val="clear" w:color="auto" w:fill="FFFFFF"/>
        </w:rPr>
        <w:t>（市能源局、人行重庆营管部、市金融监管局等按职责分工对接落实）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黑体_GBK" w:cs="方正黑体_GBK"/>
          <w:bCs/>
          <w:snapToGrid w:val="0"/>
          <w:kern w:val="0"/>
          <w:sz w:val="32"/>
          <w:szCs w:val="32"/>
        </w:rPr>
      </w:pPr>
      <w:r>
        <w:rPr>
          <w:rFonts w:ascii="Times New Roman" w:eastAsia="方正黑体_GBK" w:cs="方正黑体_GBK" w:hint="eastAsia"/>
          <w:bCs/>
          <w:snapToGrid w:val="0"/>
          <w:kern w:val="0"/>
          <w:sz w:val="32"/>
          <w:szCs w:val="32"/>
          <w:shd w:val="clear" w:color="auto" w:fill="FFFFFF"/>
        </w:rPr>
        <w:lastRenderedPageBreak/>
        <w:t>四、实施高水平市场开放</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（十一）有序扩大服务业市场开放</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34</w:t>
      </w:r>
      <w:r>
        <w:rPr>
          <w:rFonts w:ascii="Times New Roman" w:cs="方正仿宋_GBK" w:hint="eastAsia"/>
          <w:snapToGrid w:val="0"/>
          <w:kern w:val="0"/>
          <w:sz w:val="32"/>
          <w:szCs w:val="32"/>
          <w:shd w:val="clear" w:color="auto" w:fill="FFFFFF"/>
        </w:rPr>
        <w:t>．有序扩大金融服务业市场开放。支持社会资本依法进入银行、证券、资产管理、债券市场等金融服务业。允许在境内设立外资控股的合资银行、证券公司及外商独资或合资的资产管理公司。统筹规划银行间与交易所债券市场对外开放，优化准入标准、发行管理，明确中国债券市场对外开放的整体</w:t>
      </w:r>
      <w:r>
        <w:rPr>
          <w:rFonts w:ascii="Times New Roman" w:cs="方正仿宋_GBK" w:hint="eastAsia"/>
          <w:snapToGrid w:val="0"/>
          <w:kern w:val="0"/>
          <w:sz w:val="32"/>
          <w:szCs w:val="32"/>
          <w:shd w:val="clear" w:color="auto" w:fill="FFFFFF"/>
        </w:rPr>
        <w:t>性制度框架，研究制定交易所债券市场境外机构债券发行管理办法。支持符合条件的民营金融机构和境内外资金融机构获得非金融企业债务融资工具</w:t>
      </w:r>
      <w:r>
        <w:rPr>
          <w:rFonts w:ascii="Times New Roman" w:cs="方正仿宋_GBK" w:hint="eastAsia"/>
          <w:snapToGrid w:val="0"/>
          <w:kern w:val="0"/>
          <w:sz w:val="32"/>
          <w:szCs w:val="32"/>
          <w:shd w:val="clear" w:color="auto" w:fill="FFFFFF"/>
        </w:rPr>
        <w:t>A</w:t>
      </w:r>
      <w:r>
        <w:rPr>
          <w:rFonts w:ascii="Times New Roman" w:cs="方正仿宋_GBK" w:hint="eastAsia"/>
          <w:snapToGrid w:val="0"/>
          <w:kern w:val="0"/>
          <w:sz w:val="32"/>
          <w:szCs w:val="32"/>
          <w:shd w:val="clear" w:color="auto" w:fill="FFFFFF"/>
        </w:rPr>
        <w:t>类主承销商资格，参与银行间债券市场。</w:t>
      </w:r>
      <w:r>
        <w:rPr>
          <w:rFonts w:ascii="Times New Roman" w:eastAsia="方正楷体_GBK" w:cs="方正楷体_GBK" w:hint="eastAsia"/>
          <w:snapToGrid w:val="0"/>
          <w:kern w:val="0"/>
          <w:sz w:val="32"/>
          <w:szCs w:val="32"/>
          <w:shd w:val="clear" w:color="auto" w:fill="FFFFFF"/>
        </w:rPr>
        <w:t>（重庆银保监局、重庆证监局、人行重庆营管部、市发展改革委、市商务委等按职责分工对接落实）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35</w:t>
      </w:r>
      <w:r>
        <w:rPr>
          <w:rFonts w:ascii="Times New Roman" w:cs="方正仿宋_GBK" w:hint="eastAsia"/>
          <w:snapToGrid w:val="0"/>
          <w:kern w:val="0"/>
          <w:sz w:val="32"/>
          <w:szCs w:val="32"/>
          <w:shd w:val="clear" w:color="auto" w:fill="FFFFFF"/>
        </w:rPr>
        <w:t>．有序扩大社会服务业市场开放。以医疗、教育、体育、托幼、环保、市政等领域为重点，减少市场准入限制，取消对营利性医疗、教育等机构在证照办理、设备购置等方面的不合理限制。完善医疗机构设置规划方式，对社会办医疗机构实行指导性规划，加强对社会资本投资医疗机构</w:t>
      </w:r>
      <w:r>
        <w:rPr>
          <w:rFonts w:ascii="Times New Roman" w:cs="方正仿宋_GBK" w:hint="eastAsia"/>
          <w:snapToGrid w:val="0"/>
          <w:kern w:val="0"/>
          <w:sz w:val="32"/>
          <w:szCs w:val="32"/>
          <w:shd w:val="clear" w:color="auto" w:fill="FFFFFF"/>
        </w:rPr>
        <w:t>的服务。</w:t>
      </w:r>
      <w:r>
        <w:rPr>
          <w:rFonts w:ascii="Times New Roman" w:eastAsia="方正楷体_GBK" w:cs="方正楷体_GBK" w:hint="eastAsia"/>
          <w:snapToGrid w:val="0"/>
          <w:kern w:val="0"/>
          <w:sz w:val="32"/>
          <w:szCs w:val="32"/>
          <w:shd w:val="clear" w:color="auto" w:fill="FFFFFF"/>
        </w:rPr>
        <w:t>（市发展改革委、市卫生健康委、市教委、市体育局、市生态环境局等按职责分工对接落实）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36</w:t>
      </w:r>
      <w:r>
        <w:rPr>
          <w:rFonts w:ascii="Times New Roman" w:cs="方正仿宋_GBK" w:hint="eastAsia"/>
          <w:snapToGrid w:val="0"/>
          <w:kern w:val="0"/>
          <w:sz w:val="32"/>
          <w:szCs w:val="32"/>
          <w:shd w:val="clear" w:color="auto" w:fill="FFFFFF"/>
        </w:rPr>
        <w:t>．完善外商投资准入前国民待遇加负面清单管理制度。进一步缩减外商投资准入负面清单，扩大鼓励外商投资产业目录范围，支持外资加大创新投入力度，营造内外资企业一视同仁、公</w:t>
      </w:r>
      <w:r>
        <w:rPr>
          <w:rFonts w:ascii="Times New Roman" w:cs="方正仿宋_GBK" w:hint="eastAsia"/>
          <w:snapToGrid w:val="0"/>
          <w:kern w:val="0"/>
          <w:sz w:val="32"/>
          <w:szCs w:val="32"/>
          <w:shd w:val="clear" w:color="auto" w:fill="FFFFFF"/>
        </w:rPr>
        <w:lastRenderedPageBreak/>
        <w:t>平竞争的公正市场环境。抓好重大外资项目落地，破除各种市场准入隐性壁垒，打造市场化法治化国际化营商环境，提高外商投资服务水平。</w:t>
      </w:r>
      <w:r>
        <w:rPr>
          <w:rFonts w:ascii="Times New Roman" w:eastAsia="方正楷体_GBK" w:cs="方正楷体_GBK" w:hint="eastAsia"/>
          <w:snapToGrid w:val="0"/>
          <w:kern w:val="0"/>
          <w:sz w:val="32"/>
          <w:szCs w:val="32"/>
          <w:shd w:val="clear" w:color="auto" w:fill="FFFFFF"/>
        </w:rPr>
        <w:t>（市商务委、市发展改革委、市市场监管局等按职责分工对接落实）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37</w:t>
      </w:r>
      <w:r>
        <w:rPr>
          <w:rFonts w:ascii="Times New Roman" w:cs="方正仿宋_GBK" w:hint="eastAsia"/>
          <w:snapToGrid w:val="0"/>
          <w:kern w:val="0"/>
          <w:sz w:val="32"/>
          <w:szCs w:val="32"/>
          <w:shd w:val="clear" w:color="auto" w:fill="FFFFFF"/>
        </w:rPr>
        <w:t>．完善引导境外消费回流政策。鼓励重点城市增设一批离境退税商店，在</w:t>
      </w:r>
      <w:r>
        <w:rPr>
          <w:rFonts w:ascii="Times New Roman" w:cs="方正仿宋_GBK" w:hint="eastAsia"/>
          <w:snapToGrid w:val="0"/>
          <w:kern w:val="0"/>
          <w:sz w:val="32"/>
          <w:szCs w:val="32"/>
          <w:shd w:val="clear" w:color="auto" w:fill="FFFFFF"/>
        </w:rPr>
        <w:t>确保有效监管、风险可控前提下，在符合条件的离境退税商店推广开展“即买即退”业务。增加海南离岛免税城市和门店。</w:t>
      </w:r>
      <w:r>
        <w:rPr>
          <w:rFonts w:ascii="Times New Roman" w:eastAsia="方正楷体_GBK" w:cs="方正楷体_GBK" w:hint="eastAsia"/>
          <w:snapToGrid w:val="0"/>
          <w:kern w:val="0"/>
          <w:sz w:val="32"/>
          <w:szCs w:val="32"/>
          <w:shd w:val="clear" w:color="auto" w:fill="FFFFFF"/>
        </w:rPr>
        <w:t>（市财政局、重庆市税务局、重庆海关、市商务委等按职责分工对接落实）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rPr>
      </w:pPr>
      <w:r>
        <w:rPr>
          <w:rFonts w:ascii="Times New Roman" w:eastAsia="方正楷体_GBK" w:cs="方正楷体_GBK" w:hint="eastAsia"/>
          <w:snapToGrid w:val="0"/>
          <w:kern w:val="0"/>
          <w:sz w:val="32"/>
          <w:szCs w:val="32"/>
          <w:shd w:val="clear" w:color="auto" w:fill="FFFFFF"/>
        </w:rPr>
        <w:t>（十二）推动规则等制度型开放</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38</w:t>
      </w:r>
      <w:r>
        <w:rPr>
          <w:rFonts w:ascii="Times New Roman" w:cs="方正仿宋_GBK" w:hint="eastAsia"/>
          <w:snapToGrid w:val="0"/>
          <w:kern w:val="0"/>
          <w:sz w:val="32"/>
          <w:szCs w:val="32"/>
          <w:shd w:val="clear" w:color="auto" w:fill="FFFFFF"/>
        </w:rPr>
        <w:t>．深化竞争规则领域开放合作。积极推进多双边自由贸易协定竞争政策等议题谈判，加强竞争领域多双边合作交流，不断深化改革，提升合作水平。促进内外贸法律法规、监管体制、经营资质、质量标准、检验检疫、认证认可等相衔接。推动检验检测认证与海外投资、产能合作项目紧密对接，加强国际合格评定人才培养，主动参与认证认可有关国际标准和规则制定。</w:t>
      </w:r>
      <w:r>
        <w:rPr>
          <w:rFonts w:ascii="Times New Roman" w:eastAsia="方正楷体_GBK" w:cs="方正楷体_GBK" w:hint="eastAsia"/>
          <w:snapToGrid w:val="0"/>
          <w:kern w:val="0"/>
          <w:sz w:val="32"/>
          <w:szCs w:val="32"/>
          <w:shd w:val="clear" w:color="auto" w:fill="FFFFFF"/>
        </w:rPr>
        <w:t>（市发展改革委、市市场监管局、市财政局、市商务委等按职责分工对接落实）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39</w:t>
      </w:r>
      <w:r>
        <w:rPr>
          <w:rFonts w:ascii="Times New Roman" w:cs="方正仿宋_GBK" w:hint="eastAsia"/>
          <w:snapToGrid w:val="0"/>
          <w:kern w:val="0"/>
          <w:sz w:val="32"/>
          <w:szCs w:val="32"/>
          <w:shd w:val="clear" w:color="auto" w:fill="FFFFFF"/>
        </w:rPr>
        <w:t>．推动消费品国内外标准接轨。在医用电器、消毒用品、智能照明电器、家用电器、学生用品、婴幼儿配方食品等领域制定</w:t>
      </w:r>
      <w:r>
        <w:rPr>
          <w:rFonts w:ascii="Times New Roman" w:cs="方正仿宋_GBK" w:hint="eastAsia"/>
          <w:snapToGrid w:val="0"/>
          <w:kern w:val="0"/>
          <w:sz w:val="32"/>
          <w:szCs w:val="32"/>
          <w:shd w:val="clear" w:color="auto" w:fill="FFFFFF"/>
        </w:rPr>
        <w:t>修订一批国家标准及其检测方法，加大国际标准采用力度。实施内外销产品同线同标同质工程，在消费品领域积极推行高端品</w:t>
      </w:r>
      <w:r>
        <w:rPr>
          <w:rFonts w:ascii="Times New Roman" w:cs="方正仿宋_GBK" w:hint="eastAsia"/>
          <w:snapToGrid w:val="0"/>
          <w:kern w:val="0"/>
          <w:sz w:val="32"/>
          <w:szCs w:val="32"/>
          <w:shd w:val="clear" w:color="auto" w:fill="FFFFFF"/>
        </w:rPr>
        <w:lastRenderedPageBreak/>
        <w:t>质认证。</w:t>
      </w:r>
      <w:r>
        <w:rPr>
          <w:rFonts w:ascii="Times New Roman" w:eastAsia="方正楷体_GBK" w:cs="方正楷体_GBK" w:hint="eastAsia"/>
          <w:snapToGrid w:val="0"/>
          <w:kern w:val="0"/>
          <w:sz w:val="32"/>
          <w:szCs w:val="32"/>
          <w:shd w:val="clear" w:color="auto" w:fill="FFFFFF"/>
        </w:rPr>
        <w:t>（市市场监管局、市经济信息委、市商务委、市卫生健康委等按职责分工对接落实）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黑体_GBK" w:cs="方正黑体_GBK"/>
          <w:bCs/>
          <w:snapToGrid w:val="0"/>
          <w:kern w:val="0"/>
          <w:sz w:val="32"/>
          <w:szCs w:val="32"/>
        </w:rPr>
      </w:pPr>
      <w:r>
        <w:rPr>
          <w:rFonts w:ascii="Times New Roman" w:eastAsia="方正黑体_GBK" w:cs="方正黑体_GBK" w:hint="eastAsia"/>
          <w:bCs/>
          <w:snapToGrid w:val="0"/>
          <w:kern w:val="0"/>
          <w:sz w:val="32"/>
          <w:szCs w:val="32"/>
          <w:shd w:val="clear" w:color="auto" w:fill="FFFFFF"/>
        </w:rPr>
        <w:t>五、完善现代化市场监管机制</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（十三）推进综合协同监管</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40</w:t>
      </w:r>
      <w:r>
        <w:rPr>
          <w:rFonts w:ascii="Times New Roman" w:cs="方正仿宋_GBK" w:hint="eastAsia"/>
          <w:snapToGrid w:val="0"/>
          <w:kern w:val="0"/>
          <w:sz w:val="32"/>
          <w:szCs w:val="32"/>
          <w:shd w:val="clear" w:color="auto" w:fill="FFFFFF"/>
        </w:rPr>
        <w:t>．全面推行“双随机、一公开”监管。完善并严格执行抽查事项清单，建立健全行业监管部门与综合监管部门协调配合机制，推进部门联合“双随机、一公开”监管常态化。加强政府部门间涉企信息统一归集共享。完善“互联网</w:t>
      </w:r>
      <w:r>
        <w:rPr>
          <w:rFonts w:ascii="Times New Roman" w:cs="方正仿宋_GBK" w:hint="eastAsia"/>
          <w:snapToGrid w:val="0"/>
          <w:kern w:val="0"/>
          <w:sz w:val="32"/>
          <w:szCs w:val="32"/>
          <w:shd w:val="clear" w:color="auto" w:fill="FFFFFF"/>
        </w:rPr>
        <w:t>+</w:t>
      </w:r>
      <w:r>
        <w:rPr>
          <w:rFonts w:ascii="Times New Roman" w:cs="方正仿宋_GBK" w:hint="eastAsia"/>
          <w:snapToGrid w:val="0"/>
          <w:kern w:val="0"/>
          <w:sz w:val="32"/>
          <w:szCs w:val="32"/>
          <w:shd w:val="clear" w:color="auto" w:fill="FFFFFF"/>
        </w:rPr>
        <w:t>监管”，实现重要监管业务在线办理、信息及时上传、问题及时处</w:t>
      </w:r>
      <w:r>
        <w:rPr>
          <w:rFonts w:ascii="Times New Roman" w:cs="方正仿宋_GBK" w:hint="eastAsia"/>
          <w:snapToGrid w:val="0"/>
          <w:kern w:val="0"/>
          <w:sz w:val="32"/>
          <w:szCs w:val="32"/>
          <w:shd w:val="clear" w:color="auto" w:fill="FFFFFF"/>
        </w:rPr>
        <w:t>置。</w:t>
      </w:r>
      <w:r>
        <w:rPr>
          <w:rFonts w:ascii="Times New Roman" w:eastAsia="方正楷体_GBK" w:cs="方正楷体_GBK" w:hint="eastAsia"/>
          <w:snapToGrid w:val="0"/>
          <w:kern w:val="0"/>
          <w:sz w:val="32"/>
          <w:szCs w:val="32"/>
          <w:shd w:val="clear" w:color="auto" w:fill="FFFFFF"/>
        </w:rPr>
        <w:t>（市市场监管局、市政府电子政务中心对接落实）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41</w:t>
      </w:r>
      <w:r>
        <w:rPr>
          <w:rFonts w:ascii="Times New Roman" w:cs="方正仿宋_GBK" w:hint="eastAsia"/>
          <w:snapToGrid w:val="0"/>
          <w:kern w:val="0"/>
          <w:sz w:val="32"/>
          <w:szCs w:val="32"/>
          <w:shd w:val="clear" w:color="auto" w:fill="FFFFFF"/>
        </w:rPr>
        <w:t>．健全对新业态的包容审慎监管制度。按照鼓励创新、平等保护原则，对新技术、新产业、新业态、新模式等实行包容审慎监管，分类实行相应的监管规则和标准，加强和规范事中事后监管，不得简单化予以禁止或者不予监管。</w:t>
      </w:r>
      <w:r>
        <w:rPr>
          <w:rFonts w:ascii="Times New Roman" w:eastAsia="方正楷体_GBK" w:cs="方正楷体_GBK" w:hint="eastAsia"/>
          <w:snapToGrid w:val="0"/>
          <w:kern w:val="0"/>
          <w:sz w:val="32"/>
          <w:szCs w:val="32"/>
          <w:shd w:val="clear" w:color="auto" w:fill="FFFFFF"/>
        </w:rPr>
        <w:t>（市市场监管局、市经济信息委、市商务委等按职责分工对接落实）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（十四）加强重点领域监管</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42</w:t>
      </w:r>
      <w:r>
        <w:rPr>
          <w:rFonts w:ascii="Times New Roman" w:cs="方正仿宋_GBK" w:hint="eastAsia"/>
          <w:snapToGrid w:val="0"/>
          <w:kern w:val="0"/>
          <w:sz w:val="32"/>
          <w:szCs w:val="32"/>
          <w:shd w:val="clear" w:color="auto" w:fill="FFFFFF"/>
        </w:rPr>
        <w:t>．加强重点商品市场价格监管。建立价格监测与价格监管联动机制，建立健全价格监管规则，加强对重要民生商品和资源性产品价格监测。整合部门和市场机构对重点市场的调查监测资源，</w:t>
      </w:r>
      <w:r>
        <w:rPr>
          <w:rFonts w:ascii="Times New Roman" w:cs="方正仿宋_GBK" w:hint="eastAsia"/>
          <w:snapToGrid w:val="0"/>
          <w:kern w:val="0"/>
          <w:sz w:val="32"/>
          <w:szCs w:val="32"/>
          <w:shd w:val="clear" w:color="auto" w:fill="FFFFFF"/>
        </w:rPr>
        <w:t>建立价格监管智慧支撑平台。</w:t>
      </w:r>
      <w:r>
        <w:rPr>
          <w:rFonts w:ascii="Times New Roman" w:eastAsia="方正楷体_GBK" w:cs="方正楷体_GBK" w:hint="eastAsia"/>
          <w:snapToGrid w:val="0"/>
          <w:kern w:val="0"/>
          <w:sz w:val="32"/>
          <w:szCs w:val="32"/>
          <w:shd w:val="clear" w:color="auto" w:fill="FFFFFF"/>
        </w:rPr>
        <w:t>（市发展改革委、市市场监管局、市农业农村委、市商务委、国家统计局重庆调查总队等按职责分工对接落实）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lastRenderedPageBreak/>
        <w:t>43</w:t>
      </w:r>
      <w:r>
        <w:rPr>
          <w:rFonts w:ascii="Times New Roman" w:cs="方正仿宋_GBK" w:hint="eastAsia"/>
          <w:snapToGrid w:val="0"/>
          <w:kern w:val="0"/>
          <w:sz w:val="32"/>
          <w:szCs w:val="32"/>
          <w:shd w:val="clear" w:color="auto" w:fill="FFFFFF"/>
        </w:rPr>
        <w:t>．强化要素市场交易监管。健全要素市场化交易平台，逐步推进全流程电子化交易，规范各类交易平台规则，完善要素交易信息披露制度。尽快制定技术市场交易管理制度，制定数据交易准则，健全投诉举报查处机制，规范交易行为。</w:t>
      </w:r>
      <w:r>
        <w:rPr>
          <w:rFonts w:ascii="Times New Roman" w:eastAsia="方正楷体_GBK" w:cs="方正楷体_GBK" w:hint="eastAsia"/>
          <w:snapToGrid w:val="0"/>
          <w:kern w:val="0"/>
          <w:sz w:val="32"/>
          <w:szCs w:val="32"/>
          <w:shd w:val="clear" w:color="auto" w:fill="FFFFFF"/>
        </w:rPr>
        <w:t>（市规划自然资源局、市科技局、市发展改革委、市金融监管局等按职责分工对接落实）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（十五）健全依法诚信的自律机制和监管机制</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44</w:t>
      </w:r>
      <w:r>
        <w:rPr>
          <w:rFonts w:ascii="Times New Roman" w:cs="方正仿宋_GBK" w:hint="eastAsia"/>
          <w:snapToGrid w:val="0"/>
          <w:kern w:val="0"/>
          <w:sz w:val="32"/>
          <w:szCs w:val="32"/>
          <w:shd w:val="clear" w:color="auto" w:fill="FFFFFF"/>
        </w:rPr>
        <w:t>．完善市场主体信用承诺制度。依托各级信用信息共享平</w:t>
      </w:r>
      <w:r>
        <w:rPr>
          <w:rFonts w:ascii="Times New Roman" w:cs="方正仿宋_GBK" w:hint="eastAsia"/>
          <w:snapToGrid w:val="0"/>
          <w:kern w:val="0"/>
          <w:sz w:val="32"/>
          <w:szCs w:val="32"/>
          <w:shd w:val="clear" w:color="auto" w:fill="FFFFFF"/>
        </w:rPr>
        <w:t>台和行业信用信息系统，按照有关规定将市场主体的承诺履行情况记入信用记录，作为事中事后监管的重要依据。对履行承诺的市场主体，根据信用记录为其提供便利措施；对不履行承诺的市场主体，视情节依法实施限制。完善企业信用修复和异议处理机制。梳理可开展信用承诺的行政许可事项和政务服务事项，制定格式规范的信用承诺书，并依托各级信用门户网站向社会公开。鼓励市场主体主动向社会作出信用承诺。</w:t>
      </w:r>
      <w:r>
        <w:rPr>
          <w:rFonts w:ascii="Times New Roman" w:eastAsia="方正楷体_GBK" w:cs="方正楷体_GBK" w:hint="eastAsia"/>
          <w:snapToGrid w:val="0"/>
          <w:kern w:val="0"/>
          <w:sz w:val="32"/>
          <w:szCs w:val="32"/>
          <w:shd w:val="clear" w:color="auto" w:fill="FFFFFF"/>
        </w:rPr>
        <w:t>（市发展改革委、市司法局、市市场监管局等按职责分工对接落实）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45</w:t>
      </w:r>
      <w:r>
        <w:rPr>
          <w:rFonts w:ascii="Times New Roman" w:cs="方正仿宋_GBK" w:hint="eastAsia"/>
          <w:snapToGrid w:val="0"/>
          <w:kern w:val="0"/>
          <w:sz w:val="32"/>
          <w:szCs w:val="32"/>
          <w:shd w:val="clear" w:color="auto" w:fill="FFFFFF"/>
        </w:rPr>
        <w:t>．大力推进信用分级分类监管。推动税收管理、进出口、生态环保、医疗保障、医药招采等更多重点领域深入实施信用分级分类监管，根据监管对象信用状况采取差异化监管措施，为市场主体提供更加精准便利的服务。</w:t>
      </w:r>
      <w:r>
        <w:rPr>
          <w:rFonts w:ascii="Times New Roman" w:eastAsia="方正楷体_GBK" w:cs="方正楷体_GBK" w:hint="eastAsia"/>
          <w:snapToGrid w:val="0"/>
          <w:kern w:val="0"/>
          <w:sz w:val="32"/>
          <w:szCs w:val="32"/>
          <w:shd w:val="clear" w:color="auto" w:fill="FFFFFF"/>
        </w:rPr>
        <w:t>（市发展改革委、重庆市税务局、重庆海关、市生态环境局、市医保局、市药监局等按职责分工对接落实）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lastRenderedPageBreak/>
        <w:t>（十六）健全社会监督机制</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46</w:t>
      </w:r>
      <w:r>
        <w:rPr>
          <w:rFonts w:ascii="Times New Roman" w:cs="方正仿宋_GBK" w:hint="eastAsia"/>
          <w:snapToGrid w:val="0"/>
          <w:kern w:val="0"/>
          <w:sz w:val="32"/>
          <w:szCs w:val="32"/>
          <w:shd w:val="clear" w:color="auto" w:fill="FFFFFF"/>
        </w:rPr>
        <w:t>．发挥行业协会商会作用。制定促进行业协会商会规范健康发展的实施意见，推动行业协会商会建立健全行业经营自律规范、自律公约，规范会员行为。鼓励行业协会商会制定发布产品和服务标准，参与制定国家标准</w:t>
      </w:r>
      <w:r>
        <w:rPr>
          <w:rFonts w:ascii="Times New Roman" w:cs="方正仿宋_GBK" w:hint="eastAsia"/>
          <w:snapToGrid w:val="0"/>
          <w:kern w:val="0"/>
          <w:sz w:val="32"/>
          <w:szCs w:val="32"/>
          <w:shd w:val="clear" w:color="auto" w:fill="FFFFFF"/>
        </w:rPr>
        <w:t>、行业标准、团体标准及有关政策法规。</w:t>
      </w:r>
      <w:r>
        <w:rPr>
          <w:rFonts w:ascii="Times New Roman" w:eastAsia="方正楷体_GBK" w:cs="方正楷体_GBK" w:hint="eastAsia"/>
          <w:snapToGrid w:val="0"/>
          <w:kern w:val="0"/>
          <w:sz w:val="32"/>
          <w:szCs w:val="32"/>
          <w:shd w:val="clear" w:color="auto" w:fill="FFFFFF"/>
        </w:rPr>
        <w:t>（市发展改革委、市民政局、市市场监管局、市司法局等按职责分工对接落实）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47</w:t>
      </w:r>
      <w:r>
        <w:rPr>
          <w:rFonts w:ascii="Times New Roman" w:cs="方正仿宋_GBK" w:hint="eastAsia"/>
          <w:snapToGrid w:val="0"/>
          <w:kern w:val="0"/>
          <w:sz w:val="32"/>
          <w:szCs w:val="32"/>
          <w:shd w:val="clear" w:color="auto" w:fill="FFFFFF"/>
        </w:rPr>
        <w:t>．发挥市场专业化服务组织的监督作用。加快培育第三方服务机构和市场中介组织，提升市场专业化服务能力。在全国范围内推行检验检测机构资质认定告知承诺制，深化检验检测机构和认证机构市场化改革，促进第三方检验检测机构和认证机构发展。</w:t>
      </w:r>
      <w:r>
        <w:rPr>
          <w:rFonts w:ascii="Times New Roman" w:eastAsia="方正楷体_GBK" w:cs="方正楷体_GBK" w:hint="eastAsia"/>
          <w:snapToGrid w:val="0"/>
          <w:kern w:val="0"/>
          <w:sz w:val="32"/>
          <w:szCs w:val="32"/>
          <w:shd w:val="clear" w:color="auto" w:fill="FFFFFF"/>
        </w:rPr>
        <w:t>（市市场监管局、市委编办等按职责分工对接落实）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48</w:t>
      </w:r>
      <w:r>
        <w:rPr>
          <w:rFonts w:ascii="Times New Roman" w:cs="方正仿宋_GBK" w:hint="eastAsia"/>
          <w:snapToGrid w:val="0"/>
          <w:kern w:val="0"/>
          <w:sz w:val="32"/>
          <w:szCs w:val="32"/>
          <w:shd w:val="clear" w:color="auto" w:fill="FFFFFF"/>
        </w:rPr>
        <w:t>．发挥公众和舆论监督作用。加强政策宣传，更好发挥舆论监督作用，健全公众参与监督的激励机制，修订完善有奖举报制度，完善对恶意中伤</w:t>
      </w:r>
      <w:r>
        <w:rPr>
          <w:rFonts w:ascii="Times New Roman" w:cs="方正仿宋_GBK" w:hint="eastAsia"/>
          <w:snapToGrid w:val="0"/>
          <w:kern w:val="0"/>
          <w:sz w:val="32"/>
          <w:szCs w:val="32"/>
          <w:shd w:val="clear" w:color="auto" w:fill="FFFFFF"/>
        </w:rPr>
        <w:t>生产经营者、扰乱正常市场秩序的“打假”行为的认定细则和处罚制度。建立健全消费者投诉信息公示制度。</w:t>
      </w:r>
      <w:r>
        <w:rPr>
          <w:rFonts w:ascii="Times New Roman" w:eastAsia="方正楷体_GBK" w:cs="方正楷体_GBK" w:hint="eastAsia"/>
          <w:snapToGrid w:val="0"/>
          <w:kern w:val="0"/>
          <w:sz w:val="32"/>
          <w:szCs w:val="32"/>
          <w:shd w:val="clear" w:color="auto" w:fill="FFFFFF"/>
        </w:rPr>
        <w:t>（市市场监管局、市委宣传部等按职责分工对接落实）</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rPr>
      </w:pPr>
      <w:r>
        <w:rPr>
          <w:rFonts w:ascii="Times New Roman" w:eastAsia="方正楷体_GBK" w:cs="方正楷体_GBK" w:hint="eastAsia"/>
          <w:snapToGrid w:val="0"/>
          <w:kern w:val="0"/>
          <w:sz w:val="32"/>
          <w:szCs w:val="32"/>
          <w:shd w:val="clear" w:color="auto" w:fill="FFFFFF"/>
        </w:rPr>
        <w:t>（十七）加强对监管机构的监督</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49</w:t>
      </w:r>
      <w:r>
        <w:rPr>
          <w:rFonts w:ascii="Times New Roman" w:cs="方正仿宋_GBK" w:hint="eastAsia"/>
          <w:snapToGrid w:val="0"/>
          <w:kern w:val="0"/>
          <w:sz w:val="32"/>
          <w:szCs w:val="32"/>
          <w:shd w:val="clear" w:color="auto" w:fill="FFFFFF"/>
        </w:rPr>
        <w:t>．健全对监管机构履行职责的监督机制。强化对监管机构依法履行监管职责情况的监督检查，促进监管权力规范透明运行。对监管机构不作为、乱作为要依规依法严肃追责问责。推动监管部门建立健全工作人员廉洁从业相关制度，实现依法监管、公正</w:t>
      </w:r>
      <w:r>
        <w:rPr>
          <w:rFonts w:ascii="Times New Roman" w:cs="方正仿宋_GBK" w:hint="eastAsia"/>
          <w:snapToGrid w:val="0"/>
          <w:kern w:val="0"/>
          <w:sz w:val="32"/>
          <w:szCs w:val="32"/>
          <w:shd w:val="clear" w:color="auto" w:fill="FFFFFF"/>
        </w:rPr>
        <w:lastRenderedPageBreak/>
        <w:t>监管、廉洁监管。</w:t>
      </w:r>
      <w:r>
        <w:rPr>
          <w:rFonts w:ascii="Times New Roman" w:eastAsia="方正楷体_GBK" w:cs="方正楷体_GBK" w:hint="eastAsia"/>
          <w:snapToGrid w:val="0"/>
          <w:kern w:val="0"/>
          <w:sz w:val="32"/>
          <w:szCs w:val="32"/>
          <w:shd w:val="clear" w:color="auto" w:fill="FFFFFF"/>
        </w:rPr>
        <w:t>（各区县、市级各部门各单位纪检监察部门负责）</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eastAsia="方正楷体_GBK" w:cs="方正楷体_GBK" w:hint="eastAsia"/>
          <w:snapToGrid w:val="0"/>
          <w:kern w:val="0"/>
          <w:sz w:val="32"/>
          <w:szCs w:val="32"/>
          <w:shd w:val="clear" w:color="auto" w:fill="FFFFFF"/>
        </w:rPr>
        <w:t>（十八）维护市场安全和稳定</w:t>
      </w:r>
    </w:p>
    <w:p w:rsidR="00706D35" w:rsidRDefault="00A63DB0">
      <w:pPr>
        <w:pStyle w:val="a5"/>
        <w:adjustRightInd/>
        <w:spacing w:before="0" w:beforeAutospacing="0" w:after="0" w:afterAutospacing="0" w:line="240" w:lineRule="auto"/>
        <w:ind w:firstLineChars="200" w:firstLine="632"/>
        <w:textAlignment w:val="auto"/>
        <w:rPr>
          <w:rFonts w:ascii="Times New Roman" w:eastAsia="方正楷体_GBK" w:cs="方正楷体_GBK"/>
          <w:snapToGrid w:val="0"/>
          <w:kern w:val="0"/>
          <w:sz w:val="32"/>
          <w:szCs w:val="32"/>
          <w:shd w:val="clear" w:color="auto" w:fill="FFFFFF"/>
        </w:rPr>
      </w:pPr>
      <w:r>
        <w:rPr>
          <w:rFonts w:ascii="Times New Roman" w:cs="方正仿宋_GBK" w:hint="eastAsia"/>
          <w:snapToGrid w:val="0"/>
          <w:kern w:val="0"/>
          <w:sz w:val="32"/>
          <w:szCs w:val="32"/>
          <w:shd w:val="clear" w:color="auto" w:fill="FFFFFF"/>
        </w:rPr>
        <w:t>50</w:t>
      </w:r>
      <w:r>
        <w:rPr>
          <w:rFonts w:ascii="Times New Roman" w:cs="方正仿宋_GBK" w:hint="eastAsia"/>
          <w:snapToGrid w:val="0"/>
          <w:kern w:val="0"/>
          <w:sz w:val="32"/>
          <w:szCs w:val="32"/>
          <w:shd w:val="clear" w:color="auto" w:fill="FFFFFF"/>
        </w:rPr>
        <w:t>．完善维护市场安全的体制机制。落实总体国家安全观，高度重视市场运行的风险挑战和市场体系安全问题，密切跟踪国内外重要商品市场、服务市场和要素市场形势变化，完善政策储备并动态更新政策工具箱。完善宏观经济管理部门与市场监管部门的工作联动和信息共享，强化对重点市场和市场基础设施的跨部门协同监管。完善安全审查机制，重视运用国际通行规则维护国家安全。</w:t>
      </w:r>
      <w:r>
        <w:rPr>
          <w:rFonts w:ascii="Times New Roman" w:eastAsia="方正楷体_GBK" w:cs="方正楷体_GBK" w:hint="eastAsia"/>
          <w:snapToGrid w:val="0"/>
          <w:kern w:val="0"/>
          <w:sz w:val="32"/>
          <w:szCs w:val="32"/>
          <w:shd w:val="clear" w:color="auto" w:fill="FFFFFF"/>
        </w:rPr>
        <w:t>（市市场监管局、市发展改革委、市商务委、市科技局、人行重庆营管部等按职责分工对接落实）</w:t>
      </w:r>
    </w:p>
    <w:p w:rsidR="00706D35" w:rsidRDefault="00A63DB0">
      <w:pPr>
        <w:adjustRightInd/>
        <w:spacing w:line="240" w:lineRule="auto"/>
        <w:ind w:firstLineChars="200" w:firstLine="632"/>
        <w:textAlignment w:val="auto"/>
        <w:rPr>
          <w:rFonts w:eastAsia="方正楷体_GBK"/>
        </w:rPr>
      </w:pPr>
      <w:r>
        <w:rPr>
          <w:rFonts w:cs="方正仿宋_GBK" w:hint="eastAsia"/>
          <w:snapToGrid w:val="0"/>
          <w:shd w:val="clear" w:color="auto" w:fill="FFFFFF"/>
        </w:rPr>
        <w:t>51</w:t>
      </w:r>
      <w:r>
        <w:rPr>
          <w:rFonts w:cs="方正仿宋_GBK" w:hint="eastAsia"/>
          <w:snapToGrid w:val="0"/>
          <w:shd w:val="clear" w:color="auto" w:fill="FFFFFF"/>
        </w:rPr>
        <w:t>．积极防范市场异常波动和外部冲击风险。加强对大宗商品、资本、技术、数据等重点</w:t>
      </w:r>
      <w:r>
        <w:rPr>
          <w:rFonts w:cs="方正仿宋_GBK" w:hint="eastAsia"/>
          <w:snapToGrid w:val="0"/>
          <w:shd w:val="clear" w:color="auto" w:fill="FFFFFF"/>
        </w:rPr>
        <w:t>市场交易的监测预测预警，研究制定重大市场风险冲击应对预案。健全金融风险预防、预警、处置、问责制度体系。提高通过大数据等方式认定竞争违法行为、预警识别市场运行风险的能力，强化市场预期管理。</w:t>
      </w:r>
      <w:r>
        <w:rPr>
          <w:rFonts w:eastAsia="方正楷体_GBK" w:cs="方正楷体_GBK" w:hint="eastAsia"/>
          <w:snapToGrid w:val="0"/>
          <w:shd w:val="clear" w:color="auto" w:fill="FFFFFF"/>
        </w:rPr>
        <w:t>（市市场监管局、市发展改革委、市商务委、市科技局、人行重庆营管部、重庆银保监局、重庆证监局等按职责分工对接落实）</w:t>
      </w:r>
    </w:p>
    <w:p w:rsidR="00706D35" w:rsidRDefault="00706D35">
      <w:pPr>
        <w:adjustRightInd/>
        <w:spacing w:line="240" w:lineRule="auto"/>
        <w:ind w:firstLineChars="200" w:firstLine="632"/>
        <w:rPr>
          <w:color w:val="010000"/>
        </w:rPr>
      </w:pPr>
    </w:p>
    <w:p w:rsidR="00706D35" w:rsidRDefault="00706D35">
      <w:pPr>
        <w:adjustRightInd/>
        <w:spacing w:line="240" w:lineRule="auto"/>
      </w:pPr>
    </w:p>
    <w:p w:rsidR="00706D35" w:rsidRDefault="00706D35">
      <w:pPr>
        <w:adjustRightInd/>
        <w:spacing w:line="520" w:lineRule="exact"/>
      </w:pPr>
    </w:p>
    <w:p w:rsidR="00706D35" w:rsidRDefault="00A63DB0">
      <w:pPr>
        <w:pBdr>
          <w:top w:val="single" w:sz="12" w:space="0" w:color="auto"/>
          <w:bottom w:val="single" w:sz="12" w:space="0" w:color="auto"/>
        </w:pBdr>
        <w:adjustRightInd/>
        <w:spacing w:line="240" w:lineRule="auto"/>
        <w:rPr>
          <w:rFonts w:ascii="方正仿宋_GBK" w:hAnsi="方正仿宋_GBK" w:cs="方正仿宋_GBK"/>
          <w:u w:val="single"/>
        </w:rPr>
      </w:pPr>
      <w:r>
        <w:rPr>
          <w:rFonts w:hint="eastAsia"/>
          <w:sz w:val="28"/>
          <w:szCs w:val="28"/>
        </w:rPr>
        <w:t xml:space="preserve">  </w:t>
      </w:r>
      <w:r>
        <w:rPr>
          <w:rFonts w:hint="eastAsia"/>
          <w:sz w:val="28"/>
          <w:szCs w:val="28"/>
        </w:rPr>
        <w:t>重庆市发展和改革委员会办公室</w:t>
      </w:r>
      <w:r>
        <w:rPr>
          <w:rFonts w:hint="eastAsia"/>
          <w:sz w:val="28"/>
          <w:szCs w:val="28"/>
        </w:rPr>
        <w:t xml:space="preserve">             2021</w:t>
      </w:r>
      <w:r>
        <w:rPr>
          <w:rFonts w:hint="eastAsia"/>
          <w:sz w:val="28"/>
          <w:szCs w:val="28"/>
        </w:rPr>
        <w:t>年</w:t>
      </w:r>
      <w:r>
        <w:rPr>
          <w:rFonts w:hint="eastAsia"/>
          <w:sz w:val="28"/>
          <w:szCs w:val="28"/>
        </w:rPr>
        <w:t>6</w:t>
      </w:r>
      <w:r>
        <w:rPr>
          <w:rFonts w:hint="eastAsia"/>
          <w:sz w:val="28"/>
          <w:szCs w:val="28"/>
        </w:rPr>
        <w:t>月</w:t>
      </w:r>
      <w:r>
        <w:rPr>
          <w:rFonts w:hint="eastAsia"/>
          <w:sz w:val="28"/>
          <w:szCs w:val="28"/>
        </w:rPr>
        <w:t>7</w:t>
      </w:r>
      <w:r>
        <w:rPr>
          <w:rFonts w:hint="eastAsia"/>
          <w:sz w:val="28"/>
          <w:szCs w:val="28"/>
        </w:rPr>
        <w:t>日印发</w:t>
      </w:r>
      <w:r>
        <w:rPr>
          <w:rFonts w:hint="eastAsia"/>
          <w:sz w:val="28"/>
          <w:szCs w:val="28"/>
        </w:rPr>
        <w:t xml:space="preserve">  </w:t>
      </w:r>
    </w:p>
    <w:sectPr w:rsidR="00706D35" w:rsidSect="00706D35">
      <w:footerReference w:type="default" r:id="rId9"/>
      <w:pgSz w:w="11906" w:h="16838"/>
      <w:pgMar w:top="2098" w:right="1531" w:bottom="1984" w:left="1531" w:header="851" w:footer="1417"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3DB0" w:rsidRDefault="00A63DB0">
      <w:pPr>
        <w:spacing w:line="240" w:lineRule="auto"/>
      </w:pPr>
      <w:r>
        <w:separator/>
      </w:r>
    </w:p>
  </w:endnote>
  <w:endnote w:type="continuationSeparator" w:id="0">
    <w:p w:rsidR="00A63DB0" w:rsidRDefault="00A63DB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D35" w:rsidRDefault="00706D35">
    <w:pPr>
      <w:pStyle w:val="a7"/>
      <w:jc w:val="right"/>
    </w:pPr>
    <w:r>
      <w:pict>
        <v:shapetype id="_x0000_t202" coordsize="21600,21600" o:spt="202" path="m,l,21600r21600,l21600,xe">
          <v:stroke joinstyle="miter"/>
          <v:path gradientshapeok="t" o:connecttype="rect"/>
        </v:shapetype>
        <v:shape id="文本框 2" o:spid="_x0000_s2049" type="#_x0000_t202" style="position:absolute;left:0;text-align:left;margin-left:104pt;margin-top:0;width:2in;height:2in;z-index:251659264;mso-wrap-style:none;mso-position-horizontal:outside;mso-position-horizontal-relative:margin"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PmCRTSAQAAowMAAA4AAABkcnMvZTJvRG9jLnhtbK1TS27bMBDd&#10;F8gdCO5jKUbTCoLlIIWRIEDRFkh7AJoiLQL8gUNb8gXaG3TVTfc9l8/RISU5RbrJIhtqhjN8M+/N&#10;aHUzGE0OIoBytqFXi5ISYblrld019NvXu8uKEojMtkw7Kxp6FEBv1hdvVr2vxdJ1TrciEASxUPe+&#10;oV2Mvi4K4J0wDBbOC4tB6YJhEd2wK9rAekQ3uliW5buid6H1wXEBgLebMUgnxPASQCel4mLj+N4I&#10;G0fUIDSLSAk65YGuc7dSCh4/SwkiEt1QZBrziUXQ3qazWK9YvQvMd4pPLbCXtPCMk2HKYtEz1IZF&#10;RvZB/QdlFA8OnIwL7kwxEsmKIIur8pk2jx3zInNBqcGfRYfXg+WfDl8CUW1D31JimcGBn37+OP36&#10;c/r9nSyTPL2HGrMePebF4YMbcGnme8DLxHqQwaQv8iEYR3GPZ3HFEAlPj6plVZUY4hibHcQvnp77&#10;APFeOEOS0dCA08uissNHiGPqnJKqWXentM4T1Jb0iHpdvb/OL84hRNcWiyQWY7fJisN2mKhtXXtE&#10;Zj2uQEMtbjwl+sGiwmlbZiPMxnY29j6oXZfXKbUC/nYfsZ3cZaowwk6FcXaZ57RnaTn+9XPW07+1&#10;/g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s+YJFNIBAACjAwAADgAAAAAAAAABACAAAAAi&#10;AQAAZHJzL2Uyb0RvYy54bWxQSwUGAAAAAAYABgBZAQAAZgUAAAAA&#10;" filled="f" stroked="f" strokeweight="1.25pt">
          <v:textbox style="mso-fit-shape-to-text:t" inset="0,0,0,0">
            <w:txbxContent>
              <w:p w:rsidR="00706D35" w:rsidRDefault="00A63DB0">
                <w:pPr>
                  <w:pStyle w:val="a7"/>
                </w:pPr>
                <w:r>
                  <w:rPr>
                    <w:sz w:val="28"/>
                    <w:szCs w:val="28"/>
                  </w:rPr>
                  <w:t xml:space="preserve">— </w:t>
                </w:r>
                <w:r w:rsidR="00706D35">
                  <w:rPr>
                    <w:sz w:val="28"/>
                    <w:szCs w:val="28"/>
                  </w:rPr>
                  <w:fldChar w:fldCharType="begin"/>
                </w:r>
                <w:r>
                  <w:rPr>
                    <w:sz w:val="28"/>
                    <w:szCs w:val="28"/>
                  </w:rPr>
                  <w:instrText xml:space="preserve"> PAGE  \* MERGEFORMAT </w:instrText>
                </w:r>
                <w:r w:rsidR="00706D35">
                  <w:rPr>
                    <w:sz w:val="28"/>
                    <w:szCs w:val="28"/>
                  </w:rPr>
                  <w:fldChar w:fldCharType="separate"/>
                </w:r>
                <w:r w:rsidR="0094456E">
                  <w:rPr>
                    <w:noProof/>
                    <w:sz w:val="28"/>
                    <w:szCs w:val="28"/>
                  </w:rPr>
                  <w:t>1</w:t>
                </w:r>
                <w:r w:rsidR="00706D35">
                  <w:rPr>
                    <w:sz w:val="28"/>
                    <w:szCs w:val="28"/>
                  </w:rPr>
                  <w:fldChar w:fldCharType="end"/>
                </w:r>
                <w:r>
                  <w:rPr>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3DB0" w:rsidRDefault="00A63DB0">
      <w:pPr>
        <w:spacing w:line="240" w:lineRule="auto"/>
      </w:pPr>
      <w:r>
        <w:separator/>
      </w:r>
    </w:p>
  </w:footnote>
  <w:footnote w:type="continuationSeparator" w:id="0">
    <w:p w:rsidR="00A63DB0" w:rsidRDefault="00A63DB0">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5"/>
  <w:drawingGridHorizontalSpacing w:val="158"/>
  <w:drawingGridVerticalSpacing w:val="290"/>
  <w:displayHorizontalDrawingGridEvery w:val="2"/>
  <w:displayVerticalDrawingGridEvery w:val="2"/>
  <w:characterSpacingControl w:val="compressPunctuation"/>
  <w:noLineBreaksAfter w:lang="zh-CN" w:val="([{·‘“〈《「『【〔〖（．［｛￡￥"/>
  <w:noLineBreaksBefore w:lang="zh-CN" w:val="!),.:;?]}¨·ˇˉ―‖’”…∶、。〃々〉》」』】〕〗！＂＇），．：；？］｀｜｝～￠"/>
  <w:hdrShapeDefaults>
    <o:shapedefaults v:ext="edit" spidmax="4098"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72A27"/>
    <w:rsid w:val="00022BE0"/>
    <w:rsid w:val="00026367"/>
    <w:rsid w:val="00026AA5"/>
    <w:rsid w:val="00032587"/>
    <w:rsid w:val="00032767"/>
    <w:rsid w:val="000427A5"/>
    <w:rsid w:val="00046C40"/>
    <w:rsid w:val="00057AD4"/>
    <w:rsid w:val="000626F8"/>
    <w:rsid w:val="000634AC"/>
    <w:rsid w:val="00063A5A"/>
    <w:rsid w:val="0006448D"/>
    <w:rsid w:val="0006557C"/>
    <w:rsid w:val="00066E6A"/>
    <w:rsid w:val="00071C92"/>
    <w:rsid w:val="000819A9"/>
    <w:rsid w:val="00085500"/>
    <w:rsid w:val="00090940"/>
    <w:rsid w:val="0009519D"/>
    <w:rsid w:val="000A01FB"/>
    <w:rsid w:val="000A0611"/>
    <w:rsid w:val="000A3627"/>
    <w:rsid w:val="000A599C"/>
    <w:rsid w:val="000B00F9"/>
    <w:rsid w:val="000B160A"/>
    <w:rsid w:val="000B24F9"/>
    <w:rsid w:val="000B2DCB"/>
    <w:rsid w:val="000B4A22"/>
    <w:rsid w:val="000C0BF7"/>
    <w:rsid w:val="000C2FB2"/>
    <w:rsid w:val="000C6B28"/>
    <w:rsid w:val="000D5593"/>
    <w:rsid w:val="000F1D54"/>
    <w:rsid w:val="000F25BF"/>
    <w:rsid w:val="000F55C5"/>
    <w:rsid w:val="001005AC"/>
    <w:rsid w:val="001024AA"/>
    <w:rsid w:val="001056AD"/>
    <w:rsid w:val="00111665"/>
    <w:rsid w:val="001135A4"/>
    <w:rsid w:val="00114299"/>
    <w:rsid w:val="0012152F"/>
    <w:rsid w:val="0013239B"/>
    <w:rsid w:val="00140A47"/>
    <w:rsid w:val="0014158C"/>
    <w:rsid w:val="00142423"/>
    <w:rsid w:val="001428F0"/>
    <w:rsid w:val="0016196A"/>
    <w:rsid w:val="00163B4C"/>
    <w:rsid w:val="00165DF5"/>
    <w:rsid w:val="00172A27"/>
    <w:rsid w:val="001732EB"/>
    <w:rsid w:val="00182501"/>
    <w:rsid w:val="00183760"/>
    <w:rsid w:val="00185691"/>
    <w:rsid w:val="00194C66"/>
    <w:rsid w:val="001A56E4"/>
    <w:rsid w:val="001A5DFF"/>
    <w:rsid w:val="001B18AF"/>
    <w:rsid w:val="001B58F6"/>
    <w:rsid w:val="001B6704"/>
    <w:rsid w:val="001D3042"/>
    <w:rsid w:val="001E64D7"/>
    <w:rsid w:val="001F7BBB"/>
    <w:rsid w:val="00206916"/>
    <w:rsid w:val="00214558"/>
    <w:rsid w:val="00214CCF"/>
    <w:rsid w:val="00215396"/>
    <w:rsid w:val="00224D0F"/>
    <w:rsid w:val="0023372C"/>
    <w:rsid w:val="0023396E"/>
    <w:rsid w:val="00233D9E"/>
    <w:rsid w:val="002352ED"/>
    <w:rsid w:val="00241856"/>
    <w:rsid w:val="002466FA"/>
    <w:rsid w:val="00250A8A"/>
    <w:rsid w:val="002516BC"/>
    <w:rsid w:val="002536FA"/>
    <w:rsid w:val="00255404"/>
    <w:rsid w:val="0026530B"/>
    <w:rsid w:val="00266A87"/>
    <w:rsid w:val="0027687D"/>
    <w:rsid w:val="00292EA8"/>
    <w:rsid w:val="00296D93"/>
    <w:rsid w:val="002B04C6"/>
    <w:rsid w:val="002D5E1B"/>
    <w:rsid w:val="002E3CF8"/>
    <w:rsid w:val="002E47AB"/>
    <w:rsid w:val="002F3BF5"/>
    <w:rsid w:val="002F73A2"/>
    <w:rsid w:val="00301B6D"/>
    <w:rsid w:val="0030206D"/>
    <w:rsid w:val="00311237"/>
    <w:rsid w:val="00311AA4"/>
    <w:rsid w:val="00335B06"/>
    <w:rsid w:val="00341B58"/>
    <w:rsid w:val="00342252"/>
    <w:rsid w:val="0034351A"/>
    <w:rsid w:val="00350459"/>
    <w:rsid w:val="0035088A"/>
    <w:rsid w:val="00351370"/>
    <w:rsid w:val="003528D6"/>
    <w:rsid w:val="00360192"/>
    <w:rsid w:val="003635A5"/>
    <w:rsid w:val="00372C01"/>
    <w:rsid w:val="00392240"/>
    <w:rsid w:val="0039492A"/>
    <w:rsid w:val="0039608F"/>
    <w:rsid w:val="00396CAE"/>
    <w:rsid w:val="003A1783"/>
    <w:rsid w:val="003B3891"/>
    <w:rsid w:val="003B400A"/>
    <w:rsid w:val="003C3961"/>
    <w:rsid w:val="003C768B"/>
    <w:rsid w:val="003D39C9"/>
    <w:rsid w:val="003D5F25"/>
    <w:rsid w:val="003D63D9"/>
    <w:rsid w:val="003D7768"/>
    <w:rsid w:val="003E1217"/>
    <w:rsid w:val="003E4FE8"/>
    <w:rsid w:val="003E5084"/>
    <w:rsid w:val="003F16CB"/>
    <w:rsid w:val="003F450B"/>
    <w:rsid w:val="003F461E"/>
    <w:rsid w:val="003F5501"/>
    <w:rsid w:val="00407A13"/>
    <w:rsid w:val="004125BD"/>
    <w:rsid w:val="00412B4E"/>
    <w:rsid w:val="00413264"/>
    <w:rsid w:val="00413BB1"/>
    <w:rsid w:val="00420459"/>
    <w:rsid w:val="00423168"/>
    <w:rsid w:val="00424F7C"/>
    <w:rsid w:val="004260F6"/>
    <w:rsid w:val="00430F58"/>
    <w:rsid w:val="00432433"/>
    <w:rsid w:val="00434D79"/>
    <w:rsid w:val="004371DE"/>
    <w:rsid w:val="00444D08"/>
    <w:rsid w:val="004506CF"/>
    <w:rsid w:val="0045456C"/>
    <w:rsid w:val="004549CC"/>
    <w:rsid w:val="00454A2E"/>
    <w:rsid w:val="00455F54"/>
    <w:rsid w:val="00462037"/>
    <w:rsid w:val="00465DEF"/>
    <w:rsid w:val="0047361E"/>
    <w:rsid w:val="00474C3A"/>
    <w:rsid w:val="00481519"/>
    <w:rsid w:val="004967D0"/>
    <w:rsid w:val="00496D2E"/>
    <w:rsid w:val="00497F00"/>
    <w:rsid w:val="004A2FB3"/>
    <w:rsid w:val="004A5468"/>
    <w:rsid w:val="004B0CAC"/>
    <w:rsid w:val="004B5D22"/>
    <w:rsid w:val="004E0474"/>
    <w:rsid w:val="004E1CCD"/>
    <w:rsid w:val="004E237C"/>
    <w:rsid w:val="004F5D17"/>
    <w:rsid w:val="0050535E"/>
    <w:rsid w:val="005054AA"/>
    <w:rsid w:val="0050691C"/>
    <w:rsid w:val="00514A3A"/>
    <w:rsid w:val="00531AF7"/>
    <w:rsid w:val="005425A1"/>
    <w:rsid w:val="00542685"/>
    <w:rsid w:val="005513A3"/>
    <w:rsid w:val="005555FD"/>
    <w:rsid w:val="00556DE5"/>
    <w:rsid w:val="00564637"/>
    <w:rsid w:val="00564694"/>
    <w:rsid w:val="00564824"/>
    <w:rsid w:val="00566DEB"/>
    <w:rsid w:val="005717E0"/>
    <w:rsid w:val="005777F4"/>
    <w:rsid w:val="005862E3"/>
    <w:rsid w:val="0058722B"/>
    <w:rsid w:val="00590600"/>
    <w:rsid w:val="005935BC"/>
    <w:rsid w:val="005950B4"/>
    <w:rsid w:val="005965E9"/>
    <w:rsid w:val="005A5134"/>
    <w:rsid w:val="005A69BE"/>
    <w:rsid w:val="005A6FB3"/>
    <w:rsid w:val="005A7BC8"/>
    <w:rsid w:val="005B0904"/>
    <w:rsid w:val="005B33F5"/>
    <w:rsid w:val="005B4DAD"/>
    <w:rsid w:val="005B4DD4"/>
    <w:rsid w:val="005B7A9E"/>
    <w:rsid w:val="005C7EAE"/>
    <w:rsid w:val="005D0DC3"/>
    <w:rsid w:val="005D1420"/>
    <w:rsid w:val="005D2B81"/>
    <w:rsid w:val="005D3A84"/>
    <w:rsid w:val="005D5090"/>
    <w:rsid w:val="005F3C4D"/>
    <w:rsid w:val="006042BD"/>
    <w:rsid w:val="006053D5"/>
    <w:rsid w:val="006068C6"/>
    <w:rsid w:val="006076B7"/>
    <w:rsid w:val="00614F6E"/>
    <w:rsid w:val="00620B37"/>
    <w:rsid w:val="00622956"/>
    <w:rsid w:val="00625A90"/>
    <w:rsid w:val="00630B12"/>
    <w:rsid w:val="00651803"/>
    <w:rsid w:val="00655045"/>
    <w:rsid w:val="006614F5"/>
    <w:rsid w:val="00671DAC"/>
    <w:rsid w:val="00684836"/>
    <w:rsid w:val="00685E6B"/>
    <w:rsid w:val="00693D22"/>
    <w:rsid w:val="00695FE1"/>
    <w:rsid w:val="00697005"/>
    <w:rsid w:val="006A30D0"/>
    <w:rsid w:val="006A39E6"/>
    <w:rsid w:val="006A47DF"/>
    <w:rsid w:val="006A4AC9"/>
    <w:rsid w:val="006C0DE2"/>
    <w:rsid w:val="006C3BE6"/>
    <w:rsid w:val="006C4050"/>
    <w:rsid w:val="006C6330"/>
    <w:rsid w:val="006D123C"/>
    <w:rsid w:val="006D1DBA"/>
    <w:rsid w:val="006D2CD6"/>
    <w:rsid w:val="006D4322"/>
    <w:rsid w:val="006D443A"/>
    <w:rsid w:val="006D5307"/>
    <w:rsid w:val="006D5B29"/>
    <w:rsid w:val="006F429F"/>
    <w:rsid w:val="0070193A"/>
    <w:rsid w:val="00706D35"/>
    <w:rsid w:val="00715C0D"/>
    <w:rsid w:val="00717C9F"/>
    <w:rsid w:val="007205A5"/>
    <w:rsid w:val="0072131F"/>
    <w:rsid w:val="00731C1B"/>
    <w:rsid w:val="00734AE6"/>
    <w:rsid w:val="0073690B"/>
    <w:rsid w:val="00737083"/>
    <w:rsid w:val="007567A2"/>
    <w:rsid w:val="00756904"/>
    <w:rsid w:val="0076277D"/>
    <w:rsid w:val="00765BC9"/>
    <w:rsid w:val="007770A5"/>
    <w:rsid w:val="00790F06"/>
    <w:rsid w:val="0079129A"/>
    <w:rsid w:val="00794916"/>
    <w:rsid w:val="007A130D"/>
    <w:rsid w:val="007A4D28"/>
    <w:rsid w:val="007B5498"/>
    <w:rsid w:val="007C3EE7"/>
    <w:rsid w:val="007D0113"/>
    <w:rsid w:val="007E2427"/>
    <w:rsid w:val="007E47A5"/>
    <w:rsid w:val="007F46CB"/>
    <w:rsid w:val="00800B8F"/>
    <w:rsid w:val="00804A3C"/>
    <w:rsid w:val="0080696F"/>
    <w:rsid w:val="008118CD"/>
    <w:rsid w:val="0081267E"/>
    <w:rsid w:val="00815223"/>
    <w:rsid w:val="0081794B"/>
    <w:rsid w:val="0082554D"/>
    <w:rsid w:val="00827746"/>
    <w:rsid w:val="00831787"/>
    <w:rsid w:val="008355F1"/>
    <w:rsid w:val="00845BD0"/>
    <w:rsid w:val="00850D3F"/>
    <w:rsid w:val="00853F77"/>
    <w:rsid w:val="008563A3"/>
    <w:rsid w:val="00856427"/>
    <w:rsid w:val="00860A47"/>
    <w:rsid w:val="0086383D"/>
    <w:rsid w:val="008702EB"/>
    <w:rsid w:val="008711BD"/>
    <w:rsid w:val="00872D09"/>
    <w:rsid w:val="008731FA"/>
    <w:rsid w:val="00891C35"/>
    <w:rsid w:val="008935D1"/>
    <w:rsid w:val="00895668"/>
    <w:rsid w:val="008A11E2"/>
    <w:rsid w:val="008B4C1D"/>
    <w:rsid w:val="008B74C0"/>
    <w:rsid w:val="008C187A"/>
    <w:rsid w:val="008D1EBC"/>
    <w:rsid w:val="008D2813"/>
    <w:rsid w:val="008D7240"/>
    <w:rsid w:val="008E66DA"/>
    <w:rsid w:val="008F763B"/>
    <w:rsid w:val="008F799B"/>
    <w:rsid w:val="00902E21"/>
    <w:rsid w:val="009048D5"/>
    <w:rsid w:val="00904AFE"/>
    <w:rsid w:val="00911AF0"/>
    <w:rsid w:val="00912A5A"/>
    <w:rsid w:val="00914567"/>
    <w:rsid w:val="0092122C"/>
    <w:rsid w:val="009220DF"/>
    <w:rsid w:val="00932E85"/>
    <w:rsid w:val="009330DB"/>
    <w:rsid w:val="00941C74"/>
    <w:rsid w:val="0094456E"/>
    <w:rsid w:val="009463F9"/>
    <w:rsid w:val="00952DAC"/>
    <w:rsid w:val="009569DD"/>
    <w:rsid w:val="00961A92"/>
    <w:rsid w:val="00965CCB"/>
    <w:rsid w:val="00972E17"/>
    <w:rsid w:val="00974193"/>
    <w:rsid w:val="009A5EB0"/>
    <w:rsid w:val="009C66E5"/>
    <w:rsid w:val="009D2D6E"/>
    <w:rsid w:val="009D5ECE"/>
    <w:rsid w:val="009E2EBE"/>
    <w:rsid w:val="009E6BD4"/>
    <w:rsid w:val="009F3742"/>
    <w:rsid w:val="00A01287"/>
    <w:rsid w:val="00A0478F"/>
    <w:rsid w:val="00A0785D"/>
    <w:rsid w:val="00A156FC"/>
    <w:rsid w:val="00A17BF2"/>
    <w:rsid w:val="00A218BE"/>
    <w:rsid w:val="00A22DB1"/>
    <w:rsid w:val="00A314D3"/>
    <w:rsid w:val="00A31F53"/>
    <w:rsid w:val="00A40C10"/>
    <w:rsid w:val="00A40F01"/>
    <w:rsid w:val="00A443C1"/>
    <w:rsid w:val="00A5201F"/>
    <w:rsid w:val="00A63DB0"/>
    <w:rsid w:val="00A64B3A"/>
    <w:rsid w:val="00A7142C"/>
    <w:rsid w:val="00A7585E"/>
    <w:rsid w:val="00A778A2"/>
    <w:rsid w:val="00A82815"/>
    <w:rsid w:val="00A955CD"/>
    <w:rsid w:val="00AC13C2"/>
    <w:rsid w:val="00AC19E0"/>
    <w:rsid w:val="00AC227A"/>
    <w:rsid w:val="00AD6DE1"/>
    <w:rsid w:val="00AF440E"/>
    <w:rsid w:val="00AF6EE6"/>
    <w:rsid w:val="00B070BC"/>
    <w:rsid w:val="00B07C41"/>
    <w:rsid w:val="00B13EE0"/>
    <w:rsid w:val="00B1777D"/>
    <w:rsid w:val="00B17A17"/>
    <w:rsid w:val="00B318A5"/>
    <w:rsid w:val="00B325FC"/>
    <w:rsid w:val="00B3486A"/>
    <w:rsid w:val="00B35AD1"/>
    <w:rsid w:val="00B42CD9"/>
    <w:rsid w:val="00B51CD6"/>
    <w:rsid w:val="00B552C7"/>
    <w:rsid w:val="00B606EE"/>
    <w:rsid w:val="00B62C04"/>
    <w:rsid w:val="00B73014"/>
    <w:rsid w:val="00B77E55"/>
    <w:rsid w:val="00B833D8"/>
    <w:rsid w:val="00BA4523"/>
    <w:rsid w:val="00BA5938"/>
    <w:rsid w:val="00BB3772"/>
    <w:rsid w:val="00BD221D"/>
    <w:rsid w:val="00BE1E62"/>
    <w:rsid w:val="00BF0A53"/>
    <w:rsid w:val="00BF2E0B"/>
    <w:rsid w:val="00BF7D29"/>
    <w:rsid w:val="00C12D35"/>
    <w:rsid w:val="00C2316B"/>
    <w:rsid w:val="00C2407A"/>
    <w:rsid w:val="00C249A6"/>
    <w:rsid w:val="00C262C1"/>
    <w:rsid w:val="00C273D5"/>
    <w:rsid w:val="00C464A8"/>
    <w:rsid w:val="00C61D46"/>
    <w:rsid w:val="00C62A5D"/>
    <w:rsid w:val="00C6762A"/>
    <w:rsid w:val="00C74236"/>
    <w:rsid w:val="00C75B37"/>
    <w:rsid w:val="00C77F7C"/>
    <w:rsid w:val="00C854FE"/>
    <w:rsid w:val="00C91A89"/>
    <w:rsid w:val="00C9435B"/>
    <w:rsid w:val="00C95AB5"/>
    <w:rsid w:val="00CA3014"/>
    <w:rsid w:val="00CA3B23"/>
    <w:rsid w:val="00CB02F7"/>
    <w:rsid w:val="00CB2402"/>
    <w:rsid w:val="00CB45BB"/>
    <w:rsid w:val="00CB7970"/>
    <w:rsid w:val="00CC3D4F"/>
    <w:rsid w:val="00CD4D55"/>
    <w:rsid w:val="00CF7D84"/>
    <w:rsid w:val="00D00825"/>
    <w:rsid w:val="00D01740"/>
    <w:rsid w:val="00D04C2E"/>
    <w:rsid w:val="00D069CB"/>
    <w:rsid w:val="00D07011"/>
    <w:rsid w:val="00D3784C"/>
    <w:rsid w:val="00D4182B"/>
    <w:rsid w:val="00D51BB0"/>
    <w:rsid w:val="00D55343"/>
    <w:rsid w:val="00D7295A"/>
    <w:rsid w:val="00D77135"/>
    <w:rsid w:val="00D8528C"/>
    <w:rsid w:val="00D878D6"/>
    <w:rsid w:val="00D878F1"/>
    <w:rsid w:val="00D902A8"/>
    <w:rsid w:val="00D91F52"/>
    <w:rsid w:val="00D93DC9"/>
    <w:rsid w:val="00D97CFB"/>
    <w:rsid w:val="00DA2AAA"/>
    <w:rsid w:val="00DA34E6"/>
    <w:rsid w:val="00DA4B88"/>
    <w:rsid w:val="00DB38C2"/>
    <w:rsid w:val="00DC05DD"/>
    <w:rsid w:val="00DC0EB6"/>
    <w:rsid w:val="00DC286E"/>
    <w:rsid w:val="00DD2361"/>
    <w:rsid w:val="00DD2B37"/>
    <w:rsid w:val="00DD4877"/>
    <w:rsid w:val="00DE0AD4"/>
    <w:rsid w:val="00E002C9"/>
    <w:rsid w:val="00E021E1"/>
    <w:rsid w:val="00E03841"/>
    <w:rsid w:val="00E13D47"/>
    <w:rsid w:val="00E31DB5"/>
    <w:rsid w:val="00E3364E"/>
    <w:rsid w:val="00E36BCF"/>
    <w:rsid w:val="00E46F2F"/>
    <w:rsid w:val="00E47EF2"/>
    <w:rsid w:val="00E50E89"/>
    <w:rsid w:val="00E7080E"/>
    <w:rsid w:val="00E720C1"/>
    <w:rsid w:val="00E73AC1"/>
    <w:rsid w:val="00E770E1"/>
    <w:rsid w:val="00E81401"/>
    <w:rsid w:val="00E815CD"/>
    <w:rsid w:val="00E859B9"/>
    <w:rsid w:val="00E93235"/>
    <w:rsid w:val="00E93B2E"/>
    <w:rsid w:val="00E96F97"/>
    <w:rsid w:val="00EA5724"/>
    <w:rsid w:val="00EC12DD"/>
    <w:rsid w:val="00ED3612"/>
    <w:rsid w:val="00ED5B9D"/>
    <w:rsid w:val="00EE2A5D"/>
    <w:rsid w:val="00EE7367"/>
    <w:rsid w:val="00F01767"/>
    <w:rsid w:val="00F0595A"/>
    <w:rsid w:val="00F14A44"/>
    <w:rsid w:val="00F2141D"/>
    <w:rsid w:val="00F25ECD"/>
    <w:rsid w:val="00F26ED0"/>
    <w:rsid w:val="00F30C8D"/>
    <w:rsid w:val="00F3442E"/>
    <w:rsid w:val="00F43510"/>
    <w:rsid w:val="00F4688B"/>
    <w:rsid w:val="00F50272"/>
    <w:rsid w:val="00F63B69"/>
    <w:rsid w:val="00F81F7B"/>
    <w:rsid w:val="00F83094"/>
    <w:rsid w:val="00F873D2"/>
    <w:rsid w:val="00F96893"/>
    <w:rsid w:val="00FA38FF"/>
    <w:rsid w:val="00FA3FA9"/>
    <w:rsid w:val="00FA4D84"/>
    <w:rsid w:val="00FA4DBD"/>
    <w:rsid w:val="00FA59CB"/>
    <w:rsid w:val="00FC0CBE"/>
    <w:rsid w:val="00FC4183"/>
    <w:rsid w:val="00FD116D"/>
    <w:rsid w:val="00FD1E29"/>
    <w:rsid w:val="00FE2F8A"/>
    <w:rsid w:val="00FF1DD3"/>
    <w:rsid w:val="00FF4689"/>
    <w:rsid w:val="00FF4E27"/>
    <w:rsid w:val="00FF5335"/>
    <w:rsid w:val="00FF5E01"/>
    <w:rsid w:val="00FF6064"/>
    <w:rsid w:val="00FF7EDE"/>
    <w:rsid w:val="01553A5A"/>
    <w:rsid w:val="01A06D82"/>
    <w:rsid w:val="01B25A4D"/>
    <w:rsid w:val="01BF40C4"/>
    <w:rsid w:val="03505C66"/>
    <w:rsid w:val="056C450C"/>
    <w:rsid w:val="06810EEA"/>
    <w:rsid w:val="07DE0AAA"/>
    <w:rsid w:val="09D14C3C"/>
    <w:rsid w:val="0AC16C84"/>
    <w:rsid w:val="0AED7E12"/>
    <w:rsid w:val="0B6A25E4"/>
    <w:rsid w:val="0CF02DEE"/>
    <w:rsid w:val="0D47475B"/>
    <w:rsid w:val="0E197248"/>
    <w:rsid w:val="10671105"/>
    <w:rsid w:val="10BC18E5"/>
    <w:rsid w:val="11D24CC0"/>
    <w:rsid w:val="12080E07"/>
    <w:rsid w:val="12C81AA5"/>
    <w:rsid w:val="13106A16"/>
    <w:rsid w:val="137110DC"/>
    <w:rsid w:val="13B53979"/>
    <w:rsid w:val="1578613D"/>
    <w:rsid w:val="160168DD"/>
    <w:rsid w:val="16234F80"/>
    <w:rsid w:val="168E4493"/>
    <w:rsid w:val="17103104"/>
    <w:rsid w:val="193D01E0"/>
    <w:rsid w:val="19EC1ACC"/>
    <w:rsid w:val="1B6312D4"/>
    <w:rsid w:val="1C075CCE"/>
    <w:rsid w:val="1CCF40A7"/>
    <w:rsid w:val="1CD81B9F"/>
    <w:rsid w:val="1D2027D0"/>
    <w:rsid w:val="1D4E12BA"/>
    <w:rsid w:val="1F104568"/>
    <w:rsid w:val="1F4C00ED"/>
    <w:rsid w:val="200008EB"/>
    <w:rsid w:val="226117B6"/>
    <w:rsid w:val="23445D57"/>
    <w:rsid w:val="23570372"/>
    <w:rsid w:val="23C0269D"/>
    <w:rsid w:val="256B156C"/>
    <w:rsid w:val="258632C2"/>
    <w:rsid w:val="25B27047"/>
    <w:rsid w:val="26D83835"/>
    <w:rsid w:val="27F5397D"/>
    <w:rsid w:val="2AF43221"/>
    <w:rsid w:val="2AFF29AF"/>
    <w:rsid w:val="2B6540BB"/>
    <w:rsid w:val="2B6F62D5"/>
    <w:rsid w:val="2B8704A8"/>
    <w:rsid w:val="2BDB4B47"/>
    <w:rsid w:val="2DF56391"/>
    <w:rsid w:val="2F394C88"/>
    <w:rsid w:val="30C82935"/>
    <w:rsid w:val="32595649"/>
    <w:rsid w:val="34216A99"/>
    <w:rsid w:val="359D56FF"/>
    <w:rsid w:val="35EF5E14"/>
    <w:rsid w:val="37083883"/>
    <w:rsid w:val="38146403"/>
    <w:rsid w:val="38B97D28"/>
    <w:rsid w:val="3A0C3E45"/>
    <w:rsid w:val="3A1F5203"/>
    <w:rsid w:val="3BB5743F"/>
    <w:rsid w:val="3CC878B5"/>
    <w:rsid w:val="3D584BA2"/>
    <w:rsid w:val="402E288B"/>
    <w:rsid w:val="417E794A"/>
    <w:rsid w:val="425C4DF7"/>
    <w:rsid w:val="427059A1"/>
    <w:rsid w:val="439C6BC9"/>
    <w:rsid w:val="43D91723"/>
    <w:rsid w:val="450432AE"/>
    <w:rsid w:val="45E47B16"/>
    <w:rsid w:val="47651902"/>
    <w:rsid w:val="477B47A9"/>
    <w:rsid w:val="47946986"/>
    <w:rsid w:val="4A30398A"/>
    <w:rsid w:val="4AC07792"/>
    <w:rsid w:val="4BD5401A"/>
    <w:rsid w:val="4CE7092E"/>
    <w:rsid w:val="4E252DB9"/>
    <w:rsid w:val="4EA24251"/>
    <w:rsid w:val="5073301F"/>
    <w:rsid w:val="51F958DC"/>
    <w:rsid w:val="53FD042D"/>
    <w:rsid w:val="545424E6"/>
    <w:rsid w:val="54665DEC"/>
    <w:rsid w:val="54CB373D"/>
    <w:rsid w:val="54E47F11"/>
    <w:rsid w:val="54EE5113"/>
    <w:rsid w:val="55835057"/>
    <w:rsid w:val="58A53F73"/>
    <w:rsid w:val="58C17028"/>
    <w:rsid w:val="59526BF5"/>
    <w:rsid w:val="59EF47B8"/>
    <w:rsid w:val="59EF6E58"/>
    <w:rsid w:val="5A001D36"/>
    <w:rsid w:val="5A984871"/>
    <w:rsid w:val="5BC50A62"/>
    <w:rsid w:val="5BD44D6D"/>
    <w:rsid w:val="5E1219E4"/>
    <w:rsid w:val="60050F24"/>
    <w:rsid w:val="61561366"/>
    <w:rsid w:val="624C15D4"/>
    <w:rsid w:val="6383212C"/>
    <w:rsid w:val="65C52356"/>
    <w:rsid w:val="65E0558A"/>
    <w:rsid w:val="68D02306"/>
    <w:rsid w:val="68E8683A"/>
    <w:rsid w:val="691E2064"/>
    <w:rsid w:val="694D661D"/>
    <w:rsid w:val="69576041"/>
    <w:rsid w:val="696E3491"/>
    <w:rsid w:val="6AFF5937"/>
    <w:rsid w:val="6C060C7F"/>
    <w:rsid w:val="6C3D2854"/>
    <w:rsid w:val="6CDA3F90"/>
    <w:rsid w:val="6E163EDE"/>
    <w:rsid w:val="6F8E60D8"/>
    <w:rsid w:val="726C3FD1"/>
    <w:rsid w:val="728761F5"/>
    <w:rsid w:val="732B10F3"/>
    <w:rsid w:val="73815F40"/>
    <w:rsid w:val="73E80677"/>
    <w:rsid w:val="74351DFB"/>
    <w:rsid w:val="75C652FE"/>
    <w:rsid w:val="76B77724"/>
    <w:rsid w:val="7874623B"/>
    <w:rsid w:val="787760D6"/>
    <w:rsid w:val="787B045D"/>
    <w:rsid w:val="79110C52"/>
    <w:rsid w:val="79AA3D46"/>
    <w:rsid w:val="7A7973A8"/>
    <w:rsid w:val="7AB63136"/>
    <w:rsid w:val="7B0C0998"/>
    <w:rsid w:val="7BAA0A78"/>
    <w:rsid w:val="7C5031A0"/>
    <w:rsid w:val="7D345464"/>
    <w:rsid w:val="7DA31B1B"/>
    <w:rsid w:val="7E707F48"/>
    <w:rsid w:val="7EFE1DAF"/>
    <w:rsid w:val="7F02714B"/>
    <w:rsid w:val="7F0D07F1"/>
    <w:rsid w:val="7FBF28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footer" w:uiPriority="99"/>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06D35"/>
    <w:pPr>
      <w:widowControl w:val="0"/>
      <w:adjustRightInd w:val="0"/>
      <w:spacing w:line="312" w:lineRule="atLeast"/>
      <w:jc w:val="both"/>
      <w:textAlignment w:val="baseline"/>
    </w:pPr>
    <w:rPr>
      <w:rFonts w:eastAsia="方正仿宋_GBK"/>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706D35"/>
    <w:pPr>
      <w:ind w:firstLineChars="200" w:firstLine="420"/>
    </w:pPr>
    <w:rPr>
      <w:szCs w:val="20"/>
    </w:rPr>
  </w:style>
  <w:style w:type="paragraph" w:styleId="a4">
    <w:name w:val="Body Text"/>
    <w:basedOn w:val="a"/>
    <w:next w:val="a5"/>
    <w:link w:val="Char"/>
    <w:qFormat/>
    <w:rsid w:val="00706D35"/>
    <w:pPr>
      <w:adjustRightInd/>
      <w:spacing w:after="120" w:line="240" w:lineRule="auto"/>
      <w:textAlignment w:val="auto"/>
    </w:pPr>
    <w:rPr>
      <w:rFonts w:eastAsia="宋体"/>
      <w:kern w:val="2"/>
      <w:sz w:val="21"/>
      <w:szCs w:val="24"/>
    </w:rPr>
  </w:style>
  <w:style w:type="paragraph" w:styleId="a5">
    <w:name w:val="Normal (Web)"/>
    <w:basedOn w:val="a"/>
    <w:uiPriority w:val="99"/>
    <w:qFormat/>
    <w:rsid w:val="00706D35"/>
    <w:pPr>
      <w:spacing w:before="100" w:beforeAutospacing="1" w:after="100" w:afterAutospacing="1"/>
    </w:pPr>
    <w:rPr>
      <w:rFonts w:ascii="宋体"/>
      <w:kern w:val="2"/>
      <w:sz w:val="24"/>
      <w:szCs w:val="22"/>
    </w:rPr>
  </w:style>
  <w:style w:type="paragraph" w:styleId="a6">
    <w:name w:val="Balloon Text"/>
    <w:basedOn w:val="a"/>
    <w:semiHidden/>
    <w:rsid w:val="00706D35"/>
    <w:rPr>
      <w:sz w:val="18"/>
      <w:szCs w:val="18"/>
    </w:rPr>
  </w:style>
  <w:style w:type="paragraph" w:styleId="a7">
    <w:name w:val="footer"/>
    <w:basedOn w:val="a"/>
    <w:link w:val="Char1"/>
    <w:uiPriority w:val="99"/>
    <w:rsid w:val="00706D35"/>
    <w:pPr>
      <w:tabs>
        <w:tab w:val="center" w:pos="4153"/>
        <w:tab w:val="right" w:pos="8306"/>
      </w:tabs>
      <w:snapToGrid w:val="0"/>
      <w:spacing w:line="240" w:lineRule="atLeast"/>
      <w:jc w:val="left"/>
    </w:pPr>
    <w:rPr>
      <w:sz w:val="18"/>
      <w:szCs w:val="18"/>
    </w:rPr>
  </w:style>
  <w:style w:type="paragraph" w:styleId="a8">
    <w:name w:val="header"/>
    <w:basedOn w:val="a"/>
    <w:link w:val="Char10"/>
    <w:rsid w:val="00706D35"/>
    <w:pPr>
      <w:pBdr>
        <w:bottom w:val="single" w:sz="6" w:space="1" w:color="auto"/>
      </w:pBdr>
      <w:tabs>
        <w:tab w:val="center" w:pos="4153"/>
        <w:tab w:val="right" w:pos="8306"/>
      </w:tabs>
      <w:snapToGrid w:val="0"/>
      <w:spacing w:line="240" w:lineRule="atLeast"/>
      <w:jc w:val="center"/>
    </w:pPr>
    <w:rPr>
      <w:sz w:val="18"/>
      <w:szCs w:val="18"/>
    </w:rPr>
  </w:style>
  <w:style w:type="table" w:styleId="a9">
    <w:name w:val="Table Grid"/>
    <w:basedOn w:val="a2"/>
    <w:rsid w:val="00706D3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1"/>
    <w:rsid w:val="00706D35"/>
  </w:style>
  <w:style w:type="character" w:styleId="ab">
    <w:name w:val="Hyperlink"/>
    <w:rsid w:val="00706D35"/>
    <w:rPr>
      <w:rFonts w:ascii="Times New Roman" w:eastAsia="宋体" w:hAnsi="Times New Roman" w:cs="Times New Roman"/>
      <w:color w:val="0000FF"/>
      <w:u w:val="single"/>
    </w:rPr>
  </w:style>
  <w:style w:type="character" w:customStyle="1" w:styleId="Char">
    <w:name w:val="正文文本 Char"/>
    <w:link w:val="a4"/>
    <w:rsid w:val="00706D35"/>
    <w:rPr>
      <w:rFonts w:ascii="Times New Roman" w:eastAsia="宋体" w:hAnsi="Times New Roman" w:cs="Times New Roman"/>
      <w:kern w:val="2"/>
      <w:sz w:val="21"/>
      <w:szCs w:val="24"/>
    </w:rPr>
  </w:style>
  <w:style w:type="character" w:customStyle="1" w:styleId="Char10">
    <w:name w:val="页眉 Char1"/>
    <w:link w:val="a8"/>
    <w:uiPriority w:val="99"/>
    <w:semiHidden/>
    <w:rsid w:val="00706D35"/>
    <w:rPr>
      <w:rFonts w:ascii="Times New Roman" w:eastAsia="宋体" w:hAnsi="Times New Roman" w:cs="Times New Roman"/>
      <w:kern w:val="2"/>
      <w:sz w:val="18"/>
      <w:szCs w:val="18"/>
    </w:rPr>
  </w:style>
  <w:style w:type="character" w:customStyle="1" w:styleId="NormalCharacter">
    <w:name w:val="NormalCharacter"/>
    <w:rsid w:val="00706D35"/>
    <w:rPr>
      <w:rFonts w:ascii="Times New Roman" w:eastAsia="宋体" w:hAnsi="Times New Roman" w:cs="Times New Roman"/>
    </w:rPr>
  </w:style>
  <w:style w:type="character" w:customStyle="1" w:styleId="Char0">
    <w:name w:val="页脚 Char"/>
    <w:uiPriority w:val="99"/>
    <w:rsid w:val="00706D35"/>
    <w:rPr>
      <w:rFonts w:eastAsia="方正仿宋_GBK"/>
      <w:sz w:val="18"/>
      <w:szCs w:val="18"/>
    </w:rPr>
  </w:style>
  <w:style w:type="character" w:customStyle="1" w:styleId="Char1">
    <w:name w:val="页脚 Char1"/>
    <w:link w:val="a7"/>
    <w:uiPriority w:val="99"/>
    <w:semiHidden/>
    <w:rsid w:val="00706D35"/>
    <w:rPr>
      <w:rFonts w:ascii="Times New Roman" w:eastAsia="宋体" w:hAnsi="Times New Roman" w:cs="Times New Roman"/>
      <w:kern w:val="2"/>
      <w:sz w:val="18"/>
      <w:szCs w:val="18"/>
    </w:rPr>
  </w:style>
  <w:style w:type="character" w:customStyle="1" w:styleId="Char2">
    <w:name w:val="页眉 Char"/>
    <w:rsid w:val="00706D35"/>
    <w:rPr>
      <w:rFonts w:eastAsia="方正仿宋_GBK"/>
      <w:sz w:val="18"/>
      <w:szCs w:val="18"/>
    </w:rPr>
  </w:style>
  <w:style w:type="paragraph" w:customStyle="1" w:styleId="Default">
    <w:name w:val="Default"/>
    <w:rsid w:val="00706D35"/>
    <w:pPr>
      <w:autoSpaceDE w:val="0"/>
      <w:autoSpaceDN w:val="0"/>
      <w:adjustRightInd w:val="0"/>
    </w:pPr>
    <w:rPr>
      <w:rFonts w:ascii="Arial" w:hAnsi="Arial" w:cs="Arial"/>
      <w:color w:val="000000"/>
      <w:sz w:val="24"/>
      <w:szCs w:val="24"/>
    </w:rPr>
  </w:style>
  <w:style w:type="paragraph" w:customStyle="1" w:styleId="1">
    <w:name w:val="图表目录1"/>
    <w:basedOn w:val="a"/>
    <w:next w:val="a"/>
    <w:qFormat/>
    <w:rsid w:val="00706D35"/>
    <w:pPr>
      <w:adjustRightInd/>
      <w:spacing w:line="240" w:lineRule="auto"/>
      <w:ind w:leftChars="200" w:left="200" w:hangingChars="200" w:hanging="200"/>
      <w:textAlignment w:val="auto"/>
    </w:pPr>
    <w:rPr>
      <w:rFonts w:eastAsia="宋体" w:hint="eastAsia"/>
      <w:kern w:val="2"/>
      <w:sz w:val="21"/>
      <w:szCs w:val="22"/>
    </w:rPr>
  </w:style>
  <w:style w:type="paragraph" w:styleId="ac">
    <w:name w:val="List Paragraph"/>
    <w:basedOn w:val="a"/>
    <w:uiPriority w:val="34"/>
    <w:qFormat/>
    <w:rsid w:val="00706D35"/>
    <w:pPr>
      <w:adjustRightInd/>
      <w:spacing w:line="240" w:lineRule="auto"/>
      <w:ind w:firstLineChars="200" w:firstLine="420"/>
      <w:textAlignment w:val="auto"/>
    </w:pPr>
    <w:rPr>
      <w:rFonts w:eastAsia="宋体"/>
      <w:kern w:val="2"/>
      <w:sz w:val="21"/>
      <w:szCs w:val="22"/>
    </w:rPr>
  </w:style>
  <w:style w:type="paragraph" w:customStyle="1" w:styleId="p0">
    <w:name w:val="p0"/>
    <w:basedOn w:val="a"/>
    <w:rsid w:val="00706D35"/>
    <w:pPr>
      <w:widowControl/>
    </w:pPr>
    <w:rPr>
      <w:rFonts w:eastAsia="宋体"/>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4C8F84-6EB6-4DB9-AB1D-84870881F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20</Pages>
  <Words>1535</Words>
  <Characters>8753</Characters>
  <Application>Microsoft Office Word</Application>
  <DocSecurity>0</DocSecurity>
  <Lines>72</Lines>
  <Paragraphs>20</Paragraphs>
  <ScaleCrop>false</ScaleCrop>
  <Company>jw</Company>
  <LinksUpToDate>false</LinksUpToDate>
  <CharactersWithSpaces>10268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重庆市计委关于巫山县小小三峡手扒岩至平河</dc:title>
  <dc:creator>jw</dc:creator>
  <cp:lastModifiedBy>发改委办公室秘书</cp:lastModifiedBy>
  <cp:revision>3</cp:revision>
  <cp:lastPrinted>2021-09-01T03:49:00Z</cp:lastPrinted>
  <dcterms:created xsi:type="dcterms:W3CDTF">2009-06-05T02:03:00Z</dcterms:created>
  <dcterms:modified xsi:type="dcterms:W3CDTF">2021-09-01T04:03:00Z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